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1800"/>
        <w:gridCol w:w="3771"/>
      </w:tblGrid>
      <w:tr w:rsidR="002914D6" w:rsidTr="00DA714E">
        <w:trPr>
          <w:trHeight w:val="295"/>
        </w:trPr>
        <w:tc>
          <w:tcPr>
            <w:tcW w:w="5049" w:type="dxa"/>
            <w:gridSpan w:val="3"/>
          </w:tcPr>
          <w:p w:rsidR="002914D6" w:rsidRDefault="002914D6">
            <w:pPr>
              <w:rPr>
                <w:rFonts w:ascii="Arial" w:hAnsi="Arial"/>
                <w:b/>
                <w:bCs/>
                <w:noProof w:val="0"/>
                <w:sz w:val="26"/>
                <w:szCs w:val="26"/>
                <w:rtl/>
              </w:rPr>
            </w:pPr>
            <w:bookmarkStart w:id="0" w:name="_GoBack"/>
            <w:bookmarkEnd w:id="0"/>
          </w:p>
        </w:tc>
        <w:tc>
          <w:tcPr>
            <w:tcW w:w="3771" w:type="dxa"/>
          </w:tcPr>
          <w:p w:rsidR="002914D6" w:rsidRDefault="00011212" w:rsidP="00016C27">
            <w:pPr>
              <w:jc w:val="right"/>
              <w:rPr>
                <w:rFonts w:ascii="Arial" w:hAnsi="Arial"/>
                <w:b/>
                <w:bCs/>
                <w:noProof w:val="0"/>
                <w:sz w:val="26"/>
                <w:szCs w:val="26"/>
                <w:rtl/>
              </w:rPr>
            </w:pPr>
            <w:r>
              <w:rPr>
                <w:rFonts w:ascii="Arial" w:hAnsi="Arial"/>
                <w:b/>
                <w:bCs/>
                <w:noProof w:val="0"/>
                <w:sz w:val="26"/>
                <w:szCs w:val="26"/>
                <w:rtl/>
              </w:rPr>
              <w:t>מספר בקש</w:t>
            </w:r>
            <w:r w:rsidR="00016C27">
              <w:rPr>
                <w:rFonts w:ascii="Arial" w:hAnsi="Arial" w:hint="cs"/>
                <w:b/>
                <w:bCs/>
                <w:noProof w:val="0"/>
                <w:sz w:val="26"/>
                <w:szCs w:val="26"/>
                <w:rtl/>
              </w:rPr>
              <w:t>ות</w:t>
            </w:r>
            <w:r>
              <w:rPr>
                <w:rFonts w:ascii="Arial" w:hAnsi="Arial"/>
                <w:b/>
                <w:bCs/>
                <w:noProof w:val="0"/>
                <w:sz w:val="26"/>
                <w:szCs w:val="26"/>
                <w:rtl/>
              </w:rPr>
              <w:t>:</w:t>
            </w:r>
            <w:sdt>
              <w:sdtPr>
                <w:rPr>
                  <w:rtl/>
                </w:rPr>
                <w:alias w:val="1193"/>
                <w:tag w:val="1193"/>
                <w:id w:val="843432373"/>
                <w:text w:multiLine="1"/>
              </w:sdtPr>
              <w:sdtEndPr/>
              <w:sdtContent>
                <w:r>
                  <w:rPr>
                    <w:rFonts w:ascii="Arial" w:hAnsi="Arial"/>
                    <w:b/>
                    <w:bCs/>
                    <w:noProof w:val="0"/>
                    <w:sz w:val="26"/>
                    <w:szCs w:val="26"/>
                    <w:rtl/>
                  </w:rPr>
                  <w:t>6</w:t>
                </w:r>
                <w:r w:rsidR="00016C27">
                  <w:rPr>
                    <w:rFonts w:ascii="Arial" w:hAnsi="Arial" w:hint="cs"/>
                    <w:b/>
                    <w:bCs/>
                    <w:noProof w:val="0"/>
                    <w:sz w:val="26"/>
                    <w:szCs w:val="26"/>
                    <w:rtl/>
                  </w:rPr>
                  <w:t>, 8</w:t>
                </w:r>
              </w:sdtContent>
            </w:sdt>
          </w:p>
        </w:tc>
      </w:tr>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Pr="00016C27" w:rsidRDefault="00011212" w:rsidP="00016C27">
            <w:pPr>
              <w:rPr>
                <w:rFonts w:ascii="Arial" w:hAnsi="Arial"/>
                <w:b/>
                <w:bCs/>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אורית בן דור ליבל</w:t>
                </w:r>
              </w:sdtContent>
            </w:sdt>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4213F7" w:rsidRDefault="006E3E51">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2914D6" w:rsidRDefault="002914D6">
            <w:pPr>
              <w:rPr>
                <w:rFonts w:ascii="Arial" w:hAnsi="Arial"/>
                <w:b/>
                <w:bCs/>
                <w:noProof w:val="0"/>
                <w:sz w:val="26"/>
                <w:szCs w:val="26"/>
              </w:rPr>
            </w:pPr>
          </w:p>
          <w:p w:rsidR="002914D6" w:rsidRDefault="00362841" w:rsidP="00F1379A">
            <w:pPr>
              <w:rPr>
                <w:rtl/>
              </w:rPr>
            </w:pPr>
            <w:sdt>
              <w:sdtPr>
                <w:rPr>
                  <w:rtl/>
                </w:rPr>
                <w:alias w:val="1462"/>
                <w:tag w:val="1462"/>
                <w:id w:val="-236406021"/>
                <w:text w:multiLine="1"/>
              </w:sdtPr>
              <w:sdtEndPr/>
              <w:sdtContent>
                <w:r w:rsidR="00CC29C2">
                  <w:rPr>
                    <w:rFonts w:ascii="Arial" w:hAnsi="Arial"/>
                    <w:b/>
                    <w:bCs/>
                    <w:noProof w:val="0"/>
                    <w:sz w:val="26"/>
                    <w:szCs w:val="26"/>
                    <w:rtl/>
                  </w:rPr>
                  <w:t>1</w:t>
                </w:r>
              </w:sdtContent>
            </w:sdt>
            <w:r w:rsidR="00011212">
              <w:rPr>
                <w:b/>
                <w:bCs/>
                <w:noProof w:val="0"/>
                <w:sz w:val="26"/>
                <w:szCs w:val="26"/>
                <w:rtl/>
              </w:rPr>
              <w:t xml:space="preserve">. </w:t>
            </w:r>
            <w:r w:rsidR="00F1379A">
              <w:rPr>
                <w:rFonts w:ascii="Arial" w:hAnsi="Arial" w:hint="cs"/>
                <w:b/>
                <w:bCs/>
                <w:noProof w:val="0"/>
                <w:sz w:val="26"/>
                <w:szCs w:val="26"/>
                <w:rtl/>
              </w:rPr>
              <w:t>פלונית</w:t>
            </w:r>
          </w:p>
          <w:p w:rsidR="00016C27" w:rsidRPr="00016C27" w:rsidRDefault="00016C27">
            <w:pPr>
              <w:rPr>
                <w:noProof w:val="0"/>
                <w:rtl/>
              </w:rPr>
            </w:pPr>
            <w:r w:rsidRPr="006E3E51">
              <w:rPr>
                <w:rFonts w:hint="cs"/>
                <w:noProof w:val="0"/>
                <w:sz w:val="22"/>
                <w:szCs w:val="22"/>
                <w:rtl/>
              </w:rPr>
              <w:t>ע"י ב"כ עו"ד אורית מדר</w:t>
            </w:r>
          </w:p>
          <w:p w:rsidR="00016C27" w:rsidRPr="00F1379A" w:rsidRDefault="00362841" w:rsidP="00F1379A">
            <w:pPr>
              <w:rPr>
                <w:b/>
                <w:bCs/>
                <w:rtl/>
              </w:rPr>
            </w:pPr>
            <w:sdt>
              <w:sdtPr>
                <w:rPr>
                  <w:rtl/>
                </w:rPr>
                <w:alias w:val="1571"/>
                <w:tag w:val="1571"/>
                <w:id w:val="1119420712"/>
                <w:text w:multiLine="1"/>
              </w:sdtPr>
              <w:sdtEndPr/>
              <w:sdtContent>
                <w:r w:rsidR="00016C27">
                  <w:rPr>
                    <w:rFonts w:ascii="Arial" w:hAnsi="Arial" w:hint="cs"/>
                    <w:b/>
                    <w:bCs/>
                    <w:noProof w:val="0"/>
                    <w:sz w:val="26"/>
                    <w:szCs w:val="26"/>
                    <w:rtl/>
                  </w:rPr>
                  <w:t>2</w:t>
                </w:r>
              </w:sdtContent>
            </w:sdt>
            <w:r w:rsidR="00016C27">
              <w:rPr>
                <w:rFonts w:ascii="Arial" w:hAnsi="Arial"/>
                <w:b/>
                <w:bCs/>
                <w:noProof w:val="0"/>
                <w:sz w:val="26"/>
                <w:szCs w:val="26"/>
                <w:rtl/>
              </w:rPr>
              <w:t xml:space="preserve">. </w:t>
            </w:r>
            <w:r w:rsidR="00F1379A" w:rsidRPr="00F1379A">
              <w:rPr>
                <w:rFonts w:hint="cs"/>
                <w:b/>
                <w:bCs/>
                <w:rtl/>
              </w:rPr>
              <w:t>פלוני</w:t>
            </w:r>
          </w:p>
          <w:p w:rsidR="00016C27" w:rsidRPr="00016C27" w:rsidRDefault="00016C27" w:rsidP="00016C27">
            <w:pPr>
              <w:rPr>
                <w:noProof w:val="0"/>
              </w:rPr>
            </w:pPr>
            <w:r w:rsidRPr="00016C27">
              <w:rPr>
                <w:rFonts w:hint="cs"/>
                <w:sz w:val="22"/>
                <w:szCs w:val="22"/>
                <w:rtl/>
              </w:rPr>
              <w:t>ע"י ב"כ עו"ד אלי פרי</w:t>
            </w:r>
          </w:p>
        </w:tc>
      </w:tr>
      <w:tr w:rsidR="002914D6" w:rsidTr="00DA714E">
        <w:tc>
          <w:tcPr>
            <w:tcW w:w="8820" w:type="dxa"/>
            <w:gridSpan w:val="4"/>
          </w:tcPr>
          <w:p w:rsidR="002914D6" w:rsidRDefault="002914D6">
            <w:pPr>
              <w:rPr>
                <w:rFonts w:ascii="Arial" w:hAnsi="Arial"/>
                <w:b/>
                <w:bCs/>
                <w:noProof w:val="0"/>
                <w:sz w:val="26"/>
                <w:szCs w:val="26"/>
                <w:rtl/>
              </w:rPr>
            </w:pPr>
          </w:p>
          <w:p w:rsidR="002914D6" w:rsidRDefault="00011212" w:rsidP="00016C27">
            <w:pPr>
              <w:jc w:val="center"/>
              <w:rPr>
                <w:rFonts w:ascii="Arial" w:hAnsi="Arial"/>
                <w:b/>
                <w:bCs/>
                <w:noProof w:val="0"/>
                <w:sz w:val="26"/>
                <w:szCs w:val="26"/>
              </w:rPr>
            </w:pPr>
            <w:r>
              <w:rPr>
                <w:rFonts w:ascii="Arial" w:hAnsi="Arial"/>
                <w:b/>
                <w:bCs/>
                <w:noProof w:val="0"/>
                <w:sz w:val="26"/>
                <w:szCs w:val="26"/>
                <w:rtl/>
              </w:rPr>
              <w:t>נגד</w:t>
            </w: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362841" w:rsidP="00016C27">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משיב</w:t>
                </w:r>
              </w:sdtContent>
            </w:sdt>
          </w:p>
        </w:tc>
        <w:tc>
          <w:tcPr>
            <w:tcW w:w="5571" w:type="dxa"/>
            <w:gridSpan w:val="2"/>
          </w:tcPr>
          <w:p w:rsidR="002914D6" w:rsidRDefault="002914D6">
            <w:pPr>
              <w:rPr>
                <w:rFonts w:ascii="Arial" w:hAnsi="Arial"/>
                <w:b/>
                <w:bCs/>
                <w:noProof w:val="0"/>
                <w:sz w:val="26"/>
                <w:szCs w:val="26"/>
                <w:rtl/>
              </w:rPr>
            </w:pPr>
          </w:p>
          <w:p w:rsidR="002914D6" w:rsidRPr="00F1379A" w:rsidRDefault="00F1379A" w:rsidP="00016C27">
            <w:pPr>
              <w:rPr>
                <w:b/>
                <w:bCs/>
                <w:rtl/>
              </w:rPr>
            </w:pPr>
            <w:r w:rsidRPr="00F1379A">
              <w:rPr>
                <w:rFonts w:hint="cs"/>
                <w:b/>
                <w:bCs/>
                <w:rtl/>
              </w:rPr>
              <w:t>אלמוני</w:t>
            </w:r>
          </w:p>
          <w:p w:rsidR="00016C27" w:rsidRPr="00016C27" w:rsidRDefault="00016C27" w:rsidP="00016C27">
            <w:pPr>
              <w:rPr>
                <w:noProof w:val="0"/>
                <w:sz w:val="22"/>
                <w:szCs w:val="22"/>
                <w:rtl/>
              </w:rPr>
            </w:pPr>
            <w:r>
              <w:rPr>
                <w:rFonts w:hint="cs"/>
                <w:sz w:val="22"/>
                <w:szCs w:val="22"/>
                <w:rtl/>
              </w:rPr>
              <w:t>ע"י ב"כ עו"ד אברהם אטיאס</w:t>
            </w:r>
          </w:p>
        </w:tc>
      </w:tr>
      <w:tr w:rsidR="00DA714E" w:rsidTr="00020144">
        <w:tc>
          <w:tcPr>
            <w:tcW w:w="8820" w:type="dxa"/>
            <w:gridSpan w:val="4"/>
          </w:tcPr>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3A1FA4" w:rsidRDefault="003A1FA4" w:rsidP="003A1FA4">
      <w:pPr>
        <w:pStyle w:val="ae"/>
        <w:numPr>
          <w:ilvl w:val="0"/>
          <w:numId w:val="1"/>
        </w:numPr>
        <w:spacing w:line="360" w:lineRule="auto"/>
        <w:jc w:val="both"/>
        <w:rPr>
          <w:noProof w:val="0"/>
        </w:rPr>
      </w:pPr>
      <w:r>
        <w:rPr>
          <w:rFonts w:hint="cs"/>
          <w:rtl/>
        </w:rPr>
        <w:t xml:space="preserve">המשיב עתר בתביעה כספית כנגד המבקשת 1, רעייתו לשעבר, וכנגד המבקש 2, אבי בעלה הנוכחי של המבקשת 1, ועניינה של החלטה זו הוא בבקשותיהם לסילוק התובענה על הסף. </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pPr>
      <w:r>
        <w:rPr>
          <w:rFonts w:hint="cs"/>
          <w:rtl/>
        </w:rPr>
        <w:t>התובענה היא הליך נוסף בהתדיינות שבין המשיב למבקשת 1 (ולהלן לצורך הנוחות: "</w:t>
      </w:r>
      <w:r>
        <w:rPr>
          <w:rFonts w:hint="cs"/>
          <w:b/>
          <w:bCs/>
          <w:rtl/>
        </w:rPr>
        <w:t>המבקשת</w:t>
      </w:r>
      <w:r>
        <w:rPr>
          <w:rFonts w:hint="cs"/>
          <w:rtl/>
        </w:rPr>
        <w:t>") בעקבות הסכם מיום 27.4.17 שאושר וקיבל תוקף של פסק דין על ידי בית משפט זה ביום 25.5.17, ועל ידי בית משפט בארה"ב (ולהלן: "</w:t>
      </w:r>
      <w:r>
        <w:rPr>
          <w:rFonts w:hint="cs"/>
          <w:b/>
          <w:bCs/>
          <w:rtl/>
        </w:rPr>
        <w:t>הסכם ההגירה</w:t>
      </w:r>
      <w:r>
        <w:rPr>
          <w:rFonts w:hint="cs"/>
          <w:rtl/>
        </w:rPr>
        <w:t>" או "</w:t>
      </w:r>
      <w:r>
        <w:rPr>
          <w:rFonts w:hint="cs"/>
          <w:b/>
          <w:bCs/>
          <w:rtl/>
        </w:rPr>
        <w:t>ההסכם</w:t>
      </w:r>
      <w:r>
        <w:rPr>
          <w:rFonts w:hint="cs"/>
          <w:rtl/>
        </w:rPr>
        <w:t xml:space="preserve">"). במסגרתו הסכים המשיב שילדיהם הקטינים יהגרו עם המבקשת לארה"ב בעקבות נישואיה השניים, בכפוף לקיום תנאים שנקבעו בהסכם ("הסכמתו של המשיב לאפשר את מגורי הקטינים בארה"ב כפופה ומותנת בהתקיים התנאים הבאים" סעיף 2.6), ביניהם נמנים, בין היתר: התחייבות המבקשת לעמוד בתנאי הערבות שנקבעו בהסכם (סעיפים 2.6.3 ו- 11); התחייבות המבקשת לעמוד בהסדרי השהות של הקטינים עם המשיב (סעיפים 6-7), וקיום קשר טלפוני עמו (סעיף 8). כן הוסכם שהפרת ההתחייבויות הקבועות בהסכם תחשב כחטיפה לפי חוק אמנת האג ותקנה את הזכות לעתור להשבת הקטינים לישראל. לשם הבטחת התחייבויותיה בהסכם הוסכם שהמבקשת תפקיד סך של 40,000 $ בחשבון נאמנות (סעיף 11.1) ו"תדאג, במהלך כל תקופת ההגירה שבה היא מתגוררת עם הקטינים בארה"ב, כי כספי הקרן לא יופחתו מהסך השווה ל-40,000$" (סעיף 11.6). עוד הוסכם שהפרת ההסכם תחייב את המפר בנוסף לכל סעד אחר, על פי דין או על פי הוראות ההסכם, בפיצוי מוסכם ללא הוכחת נזק בסך של 50,000$ (13.2-13.4). </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pPr>
      <w:r>
        <w:rPr>
          <w:rFonts w:hint="cs"/>
          <w:rtl/>
        </w:rPr>
        <w:t>בנוסף, התחייבו בעלה הנוכחי של המבקשת ואביו, המבקש 2 (ולהלן לצורך הנוחות: "</w:t>
      </w:r>
      <w:r>
        <w:rPr>
          <w:rFonts w:hint="cs"/>
          <w:b/>
          <w:bCs/>
          <w:rtl/>
        </w:rPr>
        <w:t>המבקש</w:t>
      </w:r>
      <w:r>
        <w:rPr>
          <w:rFonts w:hint="cs"/>
          <w:rtl/>
        </w:rPr>
        <w:t>"), לקיים את התחייבויותיה של המבקשת כלפי המשיב בכתבי ערבות בלתי חוזרת לטובת המשיב שצורפו להסכם והוסכם שהם "מהווים חלק בלתי נפרד מההסכם" (סעיף 11.3; ולהלן: "</w:t>
      </w:r>
      <w:r>
        <w:rPr>
          <w:rFonts w:hint="cs"/>
          <w:b/>
          <w:bCs/>
          <w:rtl/>
        </w:rPr>
        <w:t>כתב הערבות</w:t>
      </w:r>
      <w:r>
        <w:rPr>
          <w:rFonts w:hint="cs"/>
          <w:rtl/>
        </w:rPr>
        <w:t xml:space="preserve">"). </w:t>
      </w:r>
    </w:p>
    <w:p w:rsidR="003A1FA4" w:rsidRDefault="003A1FA4" w:rsidP="003A1FA4">
      <w:pPr>
        <w:pStyle w:val="ae"/>
        <w:spacing w:line="360" w:lineRule="auto"/>
        <w:jc w:val="both"/>
      </w:pPr>
      <w:r>
        <w:rPr>
          <w:rFonts w:hint="cs"/>
          <w:rtl/>
        </w:rPr>
        <w:lastRenderedPageBreak/>
        <w:t>בהתאם לכתב הערבות המבקש "אחראי וערב באופן אישי ובאופן בלתי חוזר בערבות בלתי מוגבלת בסכום כלפי המשיב (להלן: "בעל הערבות") לכל אחת מהתחייבויותיה של המבקשת..(להלן: "החייבת") על פי הסכם שנכרת בין בעל הערבות לבין החייבת ביום 30.4.2017 (להלן: "ההסכם"), ומתחייב לשלם לבעל הערבות כל סכום אותו תהיה החייבת חייבת לבעל הערבות על פי ההסכם או לשפות את בעל הערבות עקב הפרת ההסכם ו/או בגין נזקים שיגרמו לו עקב אופן ביצועו על ידי החייבת לרבות הוצאות משפטיות, זאת מיד עם דרישתו הראשונה של בעל הערבות בכתב" (סעיף 1 לכתב הערבות). בסעיף 6 לכתב הערבות הסכים המבקש לסמכות "בלעדית" של בית משפט זה לדון "במקרה של מחלוקת ביני לבין בעל הערבות ביחס לכתב ערבות זו, לרבות ביחס לפרשנותו או לכל מחלוקת אחרת הקשורה לכתב ערבות זה, סמכות השיפוטית הבלעדית לצורך הכרעה בטענות הצדדים תהיה אך ורק לביהמ"ש לענייני משפחה בירושלים. עוד מוסכם עלי, כי ככל שיקבע כי הסכסוך שביני לבין בעל הערבות אינו מצוי בסמכותו העניינית של ביהמ"ש לענייני משפחה בירושלים, כי אז הסמכות הבלעדית תהיה לביהמ"ש במחוז ירושלים (השלום או המחוזי – בהתאם לסכום התביעה)</w:t>
      </w:r>
      <w:r w:rsidR="00EC12E3">
        <w:rPr>
          <w:rFonts w:hint="cs"/>
          <w:rtl/>
        </w:rPr>
        <w:t>"</w:t>
      </w:r>
      <w:r>
        <w:rPr>
          <w:rFonts w:hint="cs"/>
          <w:rtl/>
        </w:rPr>
        <w:t xml:space="preserve">. כן אישר המבקש שהוא קרא את ההסכם ומבין היטב את משמעותו "אני גם מאשר כי הובהר לי שחתימתי על כתב הערבות היא חלק בלתי נפרד מההסכם" (סעיף 7 לכתב הערבות). </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rPr>
          <w:rtl/>
        </w:rPr>
      </w:pPr>
      <w:r>
        <w:rPr>
          <w:rFonts w:hint="cs"/>
          <w:rtl/>
        </w:rPr>
        <w:t>לאחר שהפרה המבקשת את ההסכם עתר המשיב בתביעה כנגדה במסגרתה ביקש לחייבה בפיצוי המוסכם בגין כל אחת מההפרות שפורטו בכתב התביעה וכן להשיב את הקטינים לישראל (תמ"ש 34533-09-20). בפסק דין חלקי מיום 10.7.22 נקבע שהמבקשת הפרה את ההסכם והיא חויבה לשלם למשיב סך של 680,000 ₪ ובהוצאות משפט בסך של 100,000 ₪. בפסק הדין המשלים מיום 13.8.23 חויבה המבקשת להשיב את הילדים לישראל לידי המשיב וחויבה בהוצאות משפט בסך של 50,000 ₪ (ולהלן: "</w:t>
      </w:r>
      <w:r>
        <w:rPr>
          <w:rFonts w:hint="cs"/>
          <w:b/>
          <w:bCs/>
          <w:rtl/>
        </w:rPr>
        <w:t>פסק הדין</w:t>
      </w:r>
      <w:r>
        <w:rPr>
          <w:rFonts w:hint="cs"/>
          <w:rtl/>
        </w:rPr>
        <w:t xml:space="preserve">"). </w:t>
      </w:r>
    </w:p>
    <w:p w:rsidR="003A1FA4" w:rsidRDefault="003A1FA4" w:rsidP="003A1FA4">
      <w:pPr>
        <w:pStyle w:val="ae"/>
        <w:spacing w:line="360" w:lineRule="auto"/>
        <w:jc w:val="both"/>
      </w:pPr>
      <w:r>
        <w:rPr>
          <w:rFonts w:hint="cs"/>
          <w:rtl/>
        </w:rPr>
        <w:t>ערעור שהגישה המבקשת על פסק הדין החלקי נדחה, והיא חויבה בהוצאות נוספות (עמ"ש 33131-10-22).</w:t>
      </w:r>
    </w:p>
    <w:p w:rsidR="003A1FA4" w:rsidRDefault="003A1FA4" w:rsidP="003A1FA4">
      <w:pPr>
        <w:pStyle w:val="ae"/>
        <w:spacing w:line="360" w:lineRule="auto"/>
        <w:jc w:val="both"/>
        <w:rPr>
          <w:rtl/>
        </w:rPr>
      </w:pPr>
    </w:p>
    <w:p w:rsidR="003A1FA4" w:rsidRDefault="003A1FA4" w:rsidP="00EC12E3">
      <w:pPr>
        <w:pStyle w:val="ae"/>
        <w:numPr>
          <w:ilvl w:val="0"/>
          <w:numId w:val="1"/>
        </w:numPr>
        <w:spacing w:line="360" w:lineRule="auto"/>
        <w:jc w:val="both"/>
      </w:pPr>
      <w:r>
        <w:rPr>
          <w:rFonts w:hint="cs"/>
          <w:rtl/>
        </w:rPr>
        <w:t>אין מחלוקת שפסק הדין המשלים לא בוצע על ידי המבקשת והקטינים לא שבו לישראל, ו</w:t>
      </w:r>
      <w:r w:rsidR="00EC12E3">
        <w:rPr>
          <w:rFonts w:hint="cs"/>
          <w:rtl/>
        </w:rPr>
        <w:t>כנגדה מנהל ה</w:t>
      </w:r>
      <w:r>
        <w:rPr>
          <w:rFonts w:hint="cs"/>
          <w:rtl/>
        </w:rPr>
        <w:t xml:space="preserve">משיב </w:t>
      </w:r>
      <w:r w:rsidR="00EC12E3">
        <w:rPr>
          <w:rFonts w:hint="cs"/>
          <w:rtl/>
        </w:rPr>
        <w:t>הליך</w:t>
      </w:r>
      <w:r>
        <w:rPr>
          <w:rFonts w:hint="cs"/>
          <w:rtl/>
        </w:rPr>
        <w:t xml:space="preserve"> להשבת הקטינים לישראל בפני בית משפט בארה"ב. כמו כן, לא נשאה המבקשת בחיוב הכספי שהושת עליה בפסק הדין החלקי ולצורך ביצועו מנהל כנגדה המשיב הליך בלשכת ההוצאה לפועל (במסגרתו כלל גם את ההוצאות בהן חויבה המבקשת לאורך ניהול ההליכים, ולאחר שביצע הקטנות חוב בגין תקבולים שחולטו מערבויות שהפקידה המבקשת, ביניהן חילוט הכספים שהפקידה בחשבון הנאמנות בהתאם לסעיף 11.1 להסכם).</w:t>
      </w:r>
    </w:p>
    <w:p w:rsidR="003A1FA4" w:rsidRDefault="003A1FA4" w:rsidP="003A1FA4">
      <w:pPr>
        <w:pStyle w:val="ae"/>
        <w:spacing w:line="360" w:lineRule="auto"/>
        <w:jc w:val="both"/>
      </w:pPr>
      <w:r>
        <w:rPr>
          <w:rtl/>
        </w:rPr>
        <w:t xml:space="preserve"> </w:t>
      </w:r>
    </w:p>
    <w:p w:rsidR="007E0D3D" w:rsidRDefault="003A1FA4" w:rsidP="007E0D3D">
      <w:pPr>
        <w:pStyle w:val="ae"/>
        <w:numPr>
          <w:ilvl w:val="0"/>
          <w:numId w:val="1"/>
        </w:numPr>
        <w:spacing w:line="360" w:lineRule="auto"/>
        <w:jc w:val="both"/>
      </w:pPr>
      <w:r>
        <w:rPr>
          <w:rFonts w:hint="cs"/>
          <w:rtl/>
        </w:rPr>
        <w:lastRenderedPageBreak/>
        <w:t>ביום 11.12.23 עתר המשיב בתביעה דכאן נגד המבקשים בה נתבעו שני סעדים. הסעד הראשון, חיוב המבקש כערב במלוא החיובים הכספיים שהושתו על המבקשת בפסק הדין אותם לא שילמה (כפי שהם מופיעים בתיק ההוצאה לפועל)</w:t>
      </w:r>
      <w:r w:rsidR="007E0D3D">
        <w:rPr>
          <w:rFonts w:hint="cs"/>
          <w:rtl/>
        </w:rPr>
        <w:t xml:space="preserve"> אותו כימת בסך של 857,717 ₪</w:t>
      </w:r>
      <w:r>
        <w:rPr>
          <w:rFonts w:hint="cs"/>
          <w:rtl/>
        </w:rPr>
        <w:t>.  הסעד השני, חיוב המבקשים ביחד ולחוד בפיצוי המוסכם בגין הפרת ההסכם – אי הפקדת ערבות בסך של 40,000$ בחשבון הנאמנות</w:t>
      </w:r>
      <w:r w:rsidR="00B34261">
        <w:rPr>
          <w:rFonts w:hint="cs"/>
          <w:rtl/>
        </w:rPr>
        <w:t xml:space="preserve"> -</w:t>
      </w:r>
      <w:r w:rsidR="007E0D3D">
        <w:rPr>
          <w:rFonts w:hint="cs"/>
          <w:rtl/>
        </w:rPr>
        <w:t xml:space="preserve"> אותו כימת בסך של 199,500 ₪</w:t>
      </w:r>
      <w:r>
        <w:rPr>
          <w:rFonts w:hint="cs"/>
          <w:rtl/>
        </w:rPr>
        <w:t xml:space="preserve">. </w:t>
      </w:r>
    </w:p>
    <w:p w:rsidR="003A1FA4" w:rsidRDefault="003A1FA4" w:rsidP="007E0D3D">
      <w:pPr>
        <w:pStyle w:val="ae"/>
        <w:spacing w:line="360" w:lineRule="auto"/>
        <w:jc w:val="both"/>
        <w:rPr>
          <w:rtl/>
        </w:rPr>
      </w:pPr>
      <w:r>
        <w:rPr>
          <w:rFonts w:hint="cs"/>
          <w:rtl/>
        </w:rPr>
        <w:t>המשיב הבהיר שלאור המשך הפרות ההסכם על ידי המבקשת הוא שומר על זכותו לעתור בתובענה נפרדת בגין כל ההפרות של ההסכם מאז הגשת התביעה בהליך הקודם (חודש 9/20), וכי מטרתו בתובענה הנוכחית היא ביישום פסק הדין (סעיף 8 לכתב התביעה).</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pPr>
      <w:r>
        <w:rPr>
          <w:rFonts w:hint="cs"/>
          <w:rtl/>
        </w:rPr>
        <w:t>כל אחד מהמבקשים עתר בבקשה לסילוק התביעה על הסף. ביום 9.9.24 התקיים לפני דיון בבקשות לסילוק התובענה על הסף אליו לא התייצבה המבקשת (הגם שנדחו בקשותיה לפטור אותה מהתייצבות לדיון או לאפשר את השתתפותה בהיוועדות חזותית). בתום הדיון ניסה בית המשפט, שוב, לסייע לצדדים לקדם הסכמות שיאפשרו למצער את הקשר בין הקטינים לבין המשיב ושייתרו את המשך ניהול ההליכים אך למרבה הצער גם ניסיון זה נכשל, ולאחר שסיכמו הצדדים את טיעוניהם בכתב בשלה העת להכריע בבקשות.</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rPr>
          <w:rtl/>
        </w:rPr>
      </w:pPr>
      <w:r>
        <w:rPr>
          <w:rFonts w:hint="cs"/>
          <w:rtl/>
        </w:rPr>
        <w:t>לטענת המבקשת יש לסלק את התביעה כנגדה על הסף בהעדר עילה, ומפאת מעשה בית דין. אשר לסעד הראשון טענה בין היתר שביצוע פסק הדין מתנהל כנגדה בלשכת ההוצאה לפועל ועל כן לבית המשפט "אין עניין וגם לא סמכות" לדון בראש תביעה זה כנגדה. כן טענה להעדר סמכות עניינית לדון בתביעה כנגד המבקש, שאינו בן משפחה של המשיב, וכי העתירה כנגדה נועדה אך כדי להכשיר את צירופו של המבקש כנתבע נוסף. אשר לסעד השני טענה המבקשת שהמשיב לא פעל כנדרש בדין ולא ביקש את צירוף המבקש, כי צירוף המבקש אינו נחוץ לבירור התביעה כנגדה ביחס לתשלום הפיצוי, אשר בגינו גם לא נפרעה האגרה וכי גם מטעם זה יש להורות על מחיקתו. עוד נטען שאין המשיב יכול לצרף את המבקש לתביעה בגין הפרה נוספת טרם הוכחה חובתה לשאת בפיצוי בגין ההפרה.</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pPr>
      <w:r>
        <w:rPr>
          <w:rFonts w:hint="cs"/>
          <w:rtl/>
        </w:rPr>
        <w:t>המבקש עתר לסילוק התביעה על הסף בהעדר סמכות עניינית לדון בענייניו ובגין אי תשלום אגרה כנדרש. לטענת המבקש שני הסעדים שנתבעו מהווים למעשה שתי תביעות נפרדות אותן כלל המשיב יחד באופן מלאכותי, שכן בעלי הדין הם שונים, מסכת העובדות שונה, העילות שונות והסעדים נפרדים. לדבריו בהעדר קרבה משפחתית למשיב נעדר בית משפט זה סמכות עניינית לגביו, וכי אין בכוחם של בעלי דין להתנות או לשנות את כללי הסמכות העניינית. על כן לדבריו לא ניתן היה להגיש את התביעה כנגדו לבית משפט זה, אלא היה על המשיב לעתור תחילה לצירופו ולפרט בתצהיר את הנסיבות המצדיקות את צירופו.</w:t>
      </w:r>
    </w:p>
    <w:p w:rsidR="003A1FA4" w:rsidRDefault="003A1FA4" w:rsidP="00B560E1">
      <w:pPr>
        <w:pStyle w:val="ae"/>
        <w:spacing w:line="360" w:lineRule="auto"/>
        <w:jc w:val="both"/>
        <w:rPr>
          <w:rtl/>
        </w:rPr>
      </w:pPr>
      <w:r>
        <w:rPr>
          <w:rFonts w:hint="cs"/>
          <w:rtl/>
        </w:rPr>
        <w:lastRenderedPageBreak/>
        <w:t xml:space="preserve">עוד נטען שאין עילה לצרף את המבקש כבעל דין לצורך בירור התביעה. הוא אינו רלוונטי לבירור הסעד השני הנוגע להפרה החדשה (כפי שלא נתבע בהליך הקודם), והסעד הראשון המופנה כלפיו בלבד – לערבותו לחובותיה של המבקשת – אינו נוגע ל'סכסוך בתוך המשפחה'. </w:t>
      </w:r>
      <w:r w:rsidR="00B560E1">
        <w:rPr>
          <w:rFonts w:hint="cs"/>
          <w:rtl/>
        </w:rPr>
        <w:t xml:space="preserve">כן הודגש </w:t>
      </w:r>
      <w:r>
        <w:rPr>
          <w:rFonts w:hint="cs"/>
          <w:rtl/>
        </w:rPr>
        <w:t>שהמשיב פרע את תשלום האגרה אך ביחס לסעד המופנה כלפיו בלבד.</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rPr>
          <w:rtl/>
        </w:rPr>
      </w:pPr>
      <w:r>
        <w:rPr>
          <w:rFonts w:hint="cs"/>
          <w:rtl/>
        </w:rPr>
        <w:t>לטענת המשיב יש לדחות את בקשת המבקשת ולו מהטעם שעשתה לעצמה דין עצמי ושוב לא התייצבה לדיון. כן נטען על ידיו שצדדים יכולים להתנות על סמכות בית משפט, בכפוף לקיום תנאים דיונים, עת אין בית המשפט נעדר סמכות אבסולוטית. בענייננו לדבריו לבית המשפט סמכות לדון בסכסוך בין המשיב למבקש בכפוף לקיום תנאים דיוניים, וכי הסכמת הצדדים כוננה את סמכות בית המשפט הקיימת עקרונית אף ללא הסכמתם. עוד נטען על ידיו שאף אילולא ההסכמה יש לצרף את המבקש כנתבע נדרש לאור הגנתו אותה כרך בטענות כנגד הגנת המבקשת בהליך הקודם וכנגד המבקשת, משום שהסעד השני בנוגע להפרה משותף למבקשים, ולאור כך שהצירוף הוא הכרחי ומגשים את הכלל "שופט אחד משפחה אחת". כן לדבריו מושתק המבקש לטעון כנגד סמכות בית המשפט לאחר שההסכם אושר בבית משפט בישראל ובבית משפט בארה"ב.</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rPr>
          <w:rtl/>
        </w:rPr>
      </w:pPr>
      <w:r>
        <w:rPr>
          <w:rFonts w:hint="cs"/>
          <w:rtl/>
        </w:rPr>
        <w:t>לאחר עיון בכל טענות הצדדים מצאתי לדחות את הבקשות. את עיקר נימוקיי למסקנתי האמורה אפרט להלן.</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rPr>
          <w:rtl/>
        </w:rPr>
      </w:pPr>
      <w:r>
        <w:rPr>
          <w:rFonts w:hint="cs"/>
          <w:rtl/>
        </w:rPr>
        <w:t>אין חולק שהמבקש (אבי בעלה הנוכחי של המבקשת) אינו "בן משפחה" של המשיב, כהגדרת מונח זה בסעיף 1 ל</w:t>
      </w:r>
      <w:r>
        <w:rPr>
          <w:rFonts w:hint="cs"/>
          <w:b/>
          <w:bCs/>
          <w:rtl/>
        </w:rPr>
        <w:t>חוק בית המשפט לענייני משפחה</w:t>
      </w:r>
      <w:r>
        <w:rPr>
          <w:rFonts w:hint="cs"/>
          <w:rtl/>
        </w:rPr>
        <w:t xml:space="preserve">, תשנ"ה-1995. צירוף המבקש (שאינו בן משפחה של המשיב) לתובענה שמתנהלת בין צדדים בני משפחה מסור לשיקול דעת בית המשפט. סמכות בית המשפט לענייני משפחה לצרף את המבקש להליך שמתנהל בפניו מצויה </w:t>
      </w:r>
      <w:hyperlink r:id="rId10" w:history="1">
        <w:r w:rsidRPr="003A1FA4">
          <w:rPr>
            <w:rStyle w:val="Hyperlink"/>
            <w:rFonts w:hint="cs"/>
            <w:color w:val="auto"/>
            <w:u w:val="none"/>
            <w:rtl/>
          </w:rPr>
          <w:t>בסעיף 6(ו)</w:t>
        </w:r>
      </w:hyperlink>
      <w:r w:rsidRPr="003A1FA4">
        <w:rPr>
          <w:rFonts w:hint="cs"/>
          <w:rtl/>
        </w:rPr>
        <w:t xml:space="preserve"> ל</w:t>
      </w:r>
      <w:hyperlink r:id="rId11" w:history="1">
        <w:r w:rsidRPr="003A1FA4">
          <w:rPr>
            <w:rStyle w:val="Hyperlink"/>
            <w:rFonts w:hint="cs"/>
            <w:b/>
            <w:bCs/>
            <w:color w:val="auto"/>
            <w:u w:val="none"/>
            <w:rtl/>
          </w:rPr>
          <w:t>חוק בית המשפט לענייני משפחה</w:t>
        </w:r>
      </w:hyperlink>
      <w:r w:rsidRPr="003A1FA4">
        <w:rPr>
          <w:rFonts w:hint="cs"/>
          <w:rtl/>
        </w:rPr>
        <w:t>. מכוח סעיף זה  "</w:t>
      </w:r>
      <w:r w:rsidRPr="003A1FA4">
        <w:rPr>
          <w:rFonts w:ascii="Miriam" w:hAnsi="Miriam" w:cs="Miriam"/>
          <w:b/>
          <w:bCs/>
          <w:rtl/>
        </w:rPr>
        <w:t xml:space="preserve">בית משפט לעניני משפחה </w:t>
      </w:r>
      <w:r>
        <w:rPr>
          <w:rFonts w:ascii="Miriam" w:hAnsi="Miriam" w:cs="Miriam"/>
          <w:b/>
          <w:bCs/>
          <w:rtl/>
        </w:rPr>
        <w:t>רשאי לצרף לתובענה מי שלצורך בירור התובענה והכרעה בסכסוך נדרש שיהיה צד לה, יהא נושא התובענה או שוויה אשר יהא</w:t>
      </w:r>
      <w:r>
        <w:rPr>
          <w:rFonts w:hint="cs"/>
          <w:rtl/>
        </w:rPr>
        <w:t>". סמכות זו יכולה להיות מופעלת גם כלפי מי שאינו בן משפחה לצדדים וגם אם הסכסוך הנוגע אליו הוא "אזרחי" ברובו, ובלבד שנוכחותו נדרשת כדי לאפשר לבית המשפט את "</w:t>
      </w:r>
      <w:r>
        <w:rPr>
          <w:rFonts w:ascii="Miriam" w:hAnsi="Miriam" w:cs="Miriam"/>
          <w:b/>
          <w:bCs/>
          <w:rtl/>
        </w:rPr>
        <w:t>בירור התובענה וההכרעה בסכסוך</w:t>
      </w:r>
      <w:r>
        <w:rPr>
          <w:rFonts w:hint="cs"/>
          <w:rtl/>
        </w:rPr>
        <w:t xml:space="preserve">". </w:t>
      </w:r>
      <w:r w:rsidR="00B560E1">
        <w:rPr>
          <w:rFonts w:hint="cs"/>
          <w:rtl/>
        </w:rPr>
        <w:t xml:space="preserve">כפי שנראה להלן, </w:t>
      </w:r>
      <w:r>
        <w:rPr>
          <w:rFonts w:hint="cs"/>
          <w:rtl/>
        </w:rPr>
        <w:t>בהתאם לאמות המידה שנקבעו בפסיקה, ולשכל הישר, יש להתיר את צירוף המבקש לתובענה.</w:t>
      </w:r>
    </w:p>
    <w:p w:rsidR="003A1FA4" w:rsidRDefault="003A1FA4" w:rsidP="003A1FA4">
      <w:pPr>
        <w:pStyle w:val="ae"/>
        <w:spacing w:line="360" w:lineRule="auto"/>
        <w:jc w:val="both"/>
        <w:rPr>
          <w:rtl/>
        </w:rPr>
      </w:pPr>
    </w:p>
    <w:p w:rsidR="003A1FA4" w:rsidRDefault="003A1FA4" w:rsidP="003A1FA4">
      <w:pPr>
        <w:pStyle w:val="ae"/>
        <w:spacing w:line="360" w:lineRule="auto"/>
        <w:jc w:val="both"/>
        <w:rPr>
          <w:rtl/>
        </w:rPr>
      </w:pP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rPr>
          <w:rtl/>
        </w:rPr>
      </w:pPr>
      <w:r>
        <w:rPr>
          <w:rFonts w:hint="cs"/>
          <w:rtl/>
        </w:rPr>
        <w:lastRenderedPageBreak/>
        <w:t xml:space="preserve">אשר לראש התביעה הראשון, מטרתו מימוש ערבות המבקש ביחס לחיובים כספיים שנפסקו כנגד המבקשת בפסק הדין ובהחלטות חלוטות. התובענה הוגשה כנגד המבקשת (ואין חולק שתובענה כנגדה היא בסמכותו הייחודית של בית משפט זה) וכנגד המבקש – הערב. אמנם הסעד המבוקש בראש תביעה זה מופנה כלפי המבקש בלבד, ואולם ניתן לצרף בעל דין אם הוא בעל דין "דרוש", אף אם התובע לא העמיד נגדו סעד קונקרטי, ובכגון דא נפסק שכתב התביעה שהוגש כנגדו לא יימחק [בש"א 4553/01 </w:t>
      </w:r>
      <w:r>
        <w:rPr>
          <w:rFonts w:hint="cs"/>
          <w:b/>
          <w:bCs/>
          <w:rtl/>
        </w:rPr>
        <w:t>שיכון ופיתוח לישראל נ' ברזילי</w:t>
      </w:r>
      <w:r>
        <w:rPr>
          <w:rFonts w:hint="cs"/>
          <w:rtl/>
        </w:rPr>
        <w:t>, פ"ד מה(5) 457</w:t>
      </w:r>
      <w:r w:rsidR="00B560E1">
        <w:rPr>
          <w:rFonts w:hint="cs"/>
          <w:rtl/>
        </w:rPr>
        <w:t xml:space="preserve">; ת"א 54800-05-20 (י-ם) </w:t>
      </w:r>
      <w:r w:rsidR="00B560E1" w:rsidRPr="00B560E1">
        <w:rPr>
          <w:rFonts w:hint="cs"/>
          <w:b/>
          <w:bCs/>
          <w:rtl/>
        </w:rPr>
        <w:t>שומרוני חב' להשקעות ואח' נ' הרשות לשמירת הטבע והגנים הלאומיים</w:t>
      </w:r>
      <w:r w:rsidR="00B560E1">
        <w:rPr>
          <w:rFonts w:hint="cs"/>
          <w:rtl/>
        </w:rPr>
        <w:t xml:space="preserve"> (פורסם בנבו, 28.12.20)</w:t>
      </w:r>
      <w:r>
        <w:rPr>
          <w:rFonts w:hint="cs"/>
          <w:rtl/>
        </w:rPr>
        <w:t>].</w:t>
      </w:r>
    </w:p>
    <w:p w:rsidR="003A1FA4" w:rsidRDefault="003A1FA4" w:rsidP="003A1FA4">
      <w:pPr>
        <w:pStyle w:val="ae"/>
        <w:spacing w:line="360" w:lineRule="auto"/>
        <w:jc w:val="both"/>
      </w:pPr>
    </w:p>
    <w:p w:rsidR="003A1FA4" w:rsidRDefault="003A1FA4" w:rsidP="00124C2D">
      <w:pPr>
        <w:pStyle w:val="ae"/>
        <w:numPr>
          <w:ilvl w:val="0"/>
          <w:numId w:val="1"/>
        </w:numPr>
        <w:spacing w:line="360" w:lineRule="auto"/>
        <w:jc w:val="both"/>
        <w:rPr>
          <w:rtl/>
        </w:rPr>
      </w:pPr>
      <w:r>
        <w:rPr>
          <w:rFonts w:hint="cs"/>
          <w:rtl/>
        </w:rPr>
        <w:t>במסגרת הגנתו העלה המבקש, הערב, טענות כנגד המבקשת, החייבת העיקרית, כנגד פסק הדין, וכנגד הערבות. לטענת המבקש הוא הוטעה על ידי המבקשת ועל ידי בנו (הערב הנוסף) אשר גם הפעילו עליו לחצים לחתום על כתב הערבות, וכי אם היה יודע שהמבקשת "לא התכוונה ולמעשה גם לא קיימה את תנאי ההסכם מהרגע שעזבה את הארץ, ברור שלא היה חותם על כתב הערבות להבטחת הסכם ההגירה", ולאור פגמים נטענים אלו לשיטתו יש להורות שהערבות בטלה (סעיפים 9-11; 24-35 לכתב ההגנה). עוד נטען על ידיו בכתב ההגנה, בין היתר, שהתנהלות המשיב נגועה בחוסר תום לב קיצוני כלפיו, העולה כדי ביטול הערבות, משום שלא יידע אותו על ההפרות בגינן הגיש כנגד</w:t>
      </w:r>
      <w:r w:rsidR="00124C2D">
        <w:rPr>
          <w:rFonts w:hint="cs"/>
          <w:rtl/>
        </w:rPr>
        <w:t xml:space="preserve"> המבקשת</w:t>
      </w:r>
      <w:r>
        <w:rPr>
          <w:rFonts w:hint="cs"/>
          <w:rtl/>
        </w:rPr>
        <w:t xml:space="preserve"> את התביעה בהליך הקודם, מבלי "שעתר לצרפו כצד להליך בשום שלב"  (סעיפים 12-18 לכתב ההגנה). כן טען הנתבע כנגד מחדלי המבקשת בניהול הגנתה בהליך הקודם (סעף 31 לכתב ההגנה). עוד נטען על ידיו שכתב הערבות כולל ויתורים רבים והתחייבויות מפליגות מצדו "חלקם אף בניגוד להוראות קוגנטיות בחוק הערבות" (סעיפים 42-44 לכתב ההגנה). בנוסף טען המבקש שאילו היה המשיב מודיע לו מבעוד מועד על ההפרות (מושא פסק הדין) הן היו "נמנעו</w:t>
      </w:r>
      <w:r w:rsidR="00124C2D">
        <w:rPr>
          <w:rFonts w:hint="cs"/>
          <w:rtl/>
        </w:rPr>
        <w:t>ת</w:t>
      </w:r>
      <w:r>
        <w:rPr>
          <w:rFonts w:hint="cs"/>
          <w:rtl/>
        </w:rPr>
        <w:t>" (סעיפים 48-69 לכתב ההגנה). נטען גם שפסק הדין ניתן כנגד המבקשת מבלי שהיא העידה ותצהירה נמחק מאחר ולא התייצבה לדיון (סעיף 46 לכתב ההגנה) ו"משכך בית המשפט הנכבד מתבקש לבטל את ההחלטות בפסק הדין הנובעות מכשלים דיוניים של המבקשת, ולתת למבקש את יומו בהוכחת טענות ההגנה של המבקשת במסגרת ההליכים הקודמים" (סעיף 75 לכתב ההגנה).</w:t>
      </w:r>
    </w:p>
    <w:p w:rsidR="003A1FA4" w:rsidRDefault="003A1FA4" w:rsidP="00124C2D">
      <w:pPr>
        <w:pStyle w:val="ae"/>
        <w:spacing w:line="360" w:lineRule="auto"/>
        <w:jc w:val="both"/>
        <w:rPr>
          <w:rtl/>
        </w:rPr>
      </w:pPr>
      <w:r>
        <w:rPr>
          <w:rFonts w:hint="cs"/>
          <w:rtl/>
        </w:rPr>
        <w:t>טענות ההגנה של המבקש, כנגד תוקף הערבות, כנגד המבקשת וכנגד פסק הדין, מלמדות מניה וביה על היריבות כלפי המבקשת</w:t>
      </w:r>
      <w:r w:rsidR="00124C2D">
        <w:rPr>
          <w:rFonts w:hint="cs"/>
          <w:rtl/>
        </w:rPr>
        <w:t>,</w:t>
      </w:r>
      <w:r>
        <w:rPr>
          <w:rFonts w:hint="cs"/>
          <w:rtl/>
        </w:rPr>
        <w:t xml:space="preserve"> ושנוכחותם של שני המבקשים דרושה לצורך בירור והכרעה בסכסוך [השוו: רמ"ש (ת"א) 24581-12-18 </w:t>
      </w:r>
      <w:r>
        <w:rPr>
          <w:rFonts w:hint="cs"/>
          <w:b/>
          <w:bCs/>
          <w:rtl/>
        </w:rPr>
        <w:t>מ.ב. נ' ש.ב. ואח'</w:t>
      </w:r>
      <w:r>
        <w:rPr>
          <w:rFonts w:hint="cs"/>
          <w:rtl/>
        </w:rPr>
        <w:t xml:space="preserve"> (פורסם בנבו, 4.2.19), עמ' 10 לפסק הדין ולהפניות שם].</w:t>
      </w:r>
    </w:p>
    <w:p w:rsidR="003A1FA4" w:rsidRDefault="003A1FA4" w:rsidP="003A1FA4">
      <w:pPr>
        <w:pStyle w:val="ae"/>
        <w:spacing w:line="360" w:lineRule="auto"/>
        <w:jc w:val="both"/>
        <w:rPr>
          <w:rtl/>
        </w:rPr>
      </w:pPr>
      <w:r>
        <w:rPr>
          <w:rFonts w:hint="cs"/>
          <w:rtl/>
        </w:rPr>
        <w:t xml:space="preserve">יוער שיתכן שהייתה מתעוררת שאלה מה היה קורה אם היה מודיע המבקש שהוא מקבל את פסק הדין כפי שהוא וכל טענותיו מתמצות כנגד הערבות, והאם במצב דברים זה נדרש ניהול ההליך גם כנגד המבקשת. ואולם, שאלה זו אינה מתעוררת בענייננו לאור טענות ההגנה שהעלה המבקש המחייבות את ניהול ההליך גם כנגדה. </w:t>
      </w:r>
    </w:p>
    <w:p w:rsidR="003A1FA4" w:rsidRDefault="003A1FA4" w:rsidP="007D4E16">
      <w:pPr>
        <w:pStyle w:val="ae"/>
        <w:spacing w:line="360" w:lineRule="auto"/>
        <w:jc w:val="both"/>
      </w:pPr>
      <w:r>
        <w:rPr>
          <w:rFonts w:hint="cs"/>
          <w:rtl/>
        </w:rPr>
        <w:lastRenderedPageBreak/>
        <w:t>במצב דברים זה דומה שאם הייתה מוגשת התביעה רק כנגדו לבית משפט אזרחי, לאור טענות הגנתו הוא היה נדרש להגיש הודעת צד ג' כנגד המבקשת ואז הייתה מתעוררת סוגיית סמכות בית המשפט אזרחי לדון בתובענה לאור קשר המשפחה שבין המבקשת לבין המשיב והעובדה שההליכים בעניינם, באותה הסוגיה של הפרת ההסכם ואכיפתו, נדונו ונדונים לפני בית המשפט למשפחה. ואולם,</w:t>
      </w:r>
      <w:r w:rsidR="007D4E16">
        <w:rPr>
          <w:rFonts w:hint="cs"/>
          <w:rtl/>
        </w:rPr>
        <w:t xml:space="preserve"> </w:t>
      </w:r>
      <w:r>
        <w:rPr>
          <w:rFonts w:hint="cs"/>
          <w:rtl/>
        </w:rPr>
        <w:t xml:space="preserve">ולאור טענות ההגנה של המבקש לא נדרשת החלטה בסוגיה זו. </w:t>
      </w:r>
    </w:p>
    <w:p w:rsidR="003A1FA4" w:rsidRDefault="003A1FA4" w:rsidP="003A1FA4">
      <w:pPr>
        <w:pStyle w:val="ae"/>
        <w:spacing w:line="360" w:lineRule="auto"/>
        <w:jc w:val="both"/>
        <w:rPr>
          <w:shd w:val="clear" w:color="auto" w:fill="FFFFFF"/>
        </w:rPr>
      </w:pPr>
    </w:p>
    <w:p w:rsidR="007D4E16" w:rsidRPr="003A1FA4" w:rsidRDefault="003A1FA4" w:rsidP="007D4E16">
      <w:pPr>
        <w:pStyle w:val="ae"/>
        <w:numPr>
          <w:ilvl w:val="0"/>
          <w:numId w:val="1"/>
        </w:numPr>
        <w:spacing w:line="360" w:lineRule="auto"/>
        <w:jc w:val="both"/>
        <w:rPr>
          <w:shd w:val="clear" w:color="auto" w:fill="FFFFFF"/>
          <w:rtl/>
        </w:rPr>
      </w:pPr>
      <w:r w:rsidRPr="007D4E16">
        <w:rPr>
          <w:rFonts w:hint="cs"/>
          <w:shd w:val="clear" w:color="auto" w:fill="FFFFFF"/>
          <w:rtl/>
        </w:rPr>
        <w:t>טענות ההגנה שהעלה המבקש מפריכות כשלעצמן גם את טענתו לפיה המדובר בסכסוך אזרחי "גרידא". עמידתו על כך שיש לאפשר לו להוכיח את כל טענות ההגנה של המבקשת במסגרת ההליך הקודם מלמדת שאין המדובר בעילות תביעה נפרדות ביחס לכל אחד מהמבקשים כטענתו, וכי יש לברר גם את אותה מסכת עובדתית. כן עולה מכך שאין עילת התביעה נוגעת אך ל"דיני החוזים ודיני הערבות" כדבריו אלא להפרות הקונקרטיות של הסכם ההגירה (סעיף 4 לסיכומים)</w:t>
      </w:r>
      <w:r w:rsidR="007D4E16">
        <w:rPr>
          <w:rFonts w:hint="cs"/>
          <w:shd w:val="clear" w:color="auto" w:fill="FFFFFF"/>
          <w:rtl/>
        </w:rPr>
        <w:t xml:space="preserve"> שנדונו כנגד המבקשת בהליך הקודם</w:t>
      </w:r>
      <w:r w:rsidRPr="007D4E16">
        <w:rPr>
          <w:rFonts w:hint="cs"/>
          <w:shd w:val="clear" w:color="auto" w:fill="FFFFFF"/>
          <w:rtl/>
        </w:rPr>
        <w:t xml:space="preserve">. הסכסוך הוא סכסוך משפחתי הנובע ישירות מהסכם ההגירה וכתב הערבות המהווה חלק בלתי נפרד הימנו. מכאן שהעילה נובעת ישירות ממערכת היחסים שבין הצדדים – המשיב ושני המבקשים – ומהסכמותיהם בהסכם ההגירה. המבקש אישר במפורש בכתב הערבות שחתימתו על כתב הערבות היא חלק בלתי נפרד מההסכם ובכך שם עצמו למעשה בנעלי המבקשת כצד להסכם [השוו: תמ"ש (ת"א) 21030-01-21 </w:t>
      </w:r>
      <w:r w:rsidRPr="007D4E16">
        <w:rPr>
          <w:rFonts w:hint="cs"/>
          <w:b/>
          <w:bCs/>
          <w:shd w:val="clear" w:color="auto" w:fill="FFFFFF"/>
          <w:rtl/>
        </w:rPr>
        <w:t>פלוני נ' אלמונית</w:t>
      </w:r>
      <w:r w:rsidRPr="007D4E16">
        <w:rPr>
          <w:rFonts w:hint="cs"/>
          <w:shd w:val="clear" w:color="auto" w:fill="FFFFFF"/>
          <w:rtl/>
        </w:rPr>
        <w:t xml:space="preserve"> (פורסם בנבו, 2.11.21) פסקאות 23-24]. </w:t>
      </w:r>
      <w:r w:rsidR="007D4E16">
        <w:rPr>
          <w:rFonts w:hint="cs"/>
          <w:rtl/>
        </w:rPr>
        <w:t>בהתאם לפסיקה הסמכות הרחבה של בית המשפט למשפחה לצרף מי שלצורך בירור התובענה והכרעה בסכסוך נדרש שיהיה צד לה, בין אם הוא בין משפחה ובין אם לא, כוללת גם את הסמכות לדון בהודעת צד ג' שהוגשה בהליך שלפניו כנגד מי שאינו בן משפחה וגם אם לא מדובר בעילות זהות: "</w:t>
      </w:r>
      <w:r w:rsidR="007D4E16">
        <w:rPr>
          <w:rFonts w:ascii="Miriam" w:hAnsi="Miriam" w:cs="Miriam"/>
          <w:b/>
          <w:bCs/>
          <w:rtl/>
        </w:rPr>
        <w:t xml:space="preserve">כל זאת כדי לאפשר לבית המשפט להכריע ביעילות בשאלות השנויות במחלוקת, כשיש שאלה או פלוגתה משותפת שראוי להכריע בה גם כלפי הצד השלישי וכדי למנוע הכרעות סותרות אפשריות, שהצד השלישי יהיה קשור בהכרעה שתיפול בין התובע והנתבע, ריכוז ההליכים וחסכון בהתדיינויות נוספות ובזמן וזאת גם אם לא מדובר בעילות זהות (של התובע ושל הנתבע) ובלבד שמדובר במערכת עובדתית אחת </w:t>
      </w:r>
      <w:r w:rsidR="007D4E16" w:rsidRPr="003A1FA4">
        <w:rPr>
          <w:rFonts w:ascii="Miriam" w:hAnsi="Miriam" w:cs="Miriam"/>
          <w:b/>
          <w:bCs/>
          <w:rtl/>
        </w:rPr>
        <w:t xml:space="preserve">(ראו גם </w:t>
      </w:r>
      <w:hyperlink r:id="rId12" w:history="1">
        <w:r w:rsidR="007D4E16" w:rsidRPr="003A1FA4">
          <w:rPr>
            <w:rStyle w:val="Hyperlink"/>
            <w:rFonts w:ascii="Miriam" w:hAnsi="Miriam" w:cs="Miriam" w:hint="cs"/>
            <w:b/>
            <w:bCs/>
            <w:color w:val="auto"/>
            <w:u w:val="none"/>
            <w:rtl/>
          </w:rPr>
          <w:t>רע"א 5635/13</w:t>
        </w:r>
      </w:hyperlink>
      <w:r w:rsidR="007D4E16" w:rsidRPr="003A1FA4">
        <w:rPr>
          <w:rFonts w:ascii="Miriam" w:hAnsi="Miriam" w:cs="Miriam"/>
          <w:b/>
          <w:bCs/>
          <w:rtl/>
        </w:rPr>
        <w:t xml:space="preserve"> </w:t>
      </w:r>
      <w:r w:rsidR="007D4E16" w:rsidRPr="003A1FA4">
        <w:rPr>
          <w:rFonts w:ascii="Miriam" w:hAnsi="Miriam" w:cs="Miriam" w:hint="cs"/>
          <w:b/>
          <w:bCs/>
          <w:rtl/>
        </w:rPr>
        <w:t xml:space="preserve">קורל-תל בע"מ נ' רז [פורסם בנבו] (1/4/15), </w:t>
      </w:r>
      <w:hyperlink r:id="rId13" w:history="1">
        <w:r w:rsidR="007D4E16" w:rsidRPr="003A1FA4">
          <w:rPr>
            <w:rStyle w:val="Hyperlink"/>
            <w:rFonts w:ascii="Miriam" w:hAnsi="Miriam" w:cs="Miriam" w:hint="cs"/>
            <w:b/>
            <w:bCs/>
            <w:color w:val="auto"/>
            <w:u w:val="none"/>
            <w:rtl/>
          </w:rPr>
          <w:t>ע"א 6381/00 עו"ד קפון נ' חברת מעונות מרכז התרבות בע"מ פ"ד נו</w:t>
        </w:r>
      </w:hyperlink>
      <w:r w:rsidR="007D4E16" w:rsidRPr="003A1FA4">
        <w:rPr>
          <w:rFonts w:ascii="Miriam" w:hAnsi="Miriam" w:cs="Miriam" w:hint="cs"/>
          <w:b/>
          <w:bCs/>
          <w:rtl/>
        </w:rPr>
        <w:t xml:space="preserve">(1) 425, </w:t>
      </w:r>
      <w:hyperlink r:id="rId14" w:history="1">
        <w:r w:rsidR="007D4E16" w:rsidRPr="003A1FA4">
          <w:rPr>
            <w:rStyle w:val="Hyperlink"/>
            <w:rFonts w:ascii="Miriam" w:hAnsi="Miriam" w:cs="Miriam" w:hint="cs"/>
            <w:b/>
            <w:bCs/>
            <w:color w:val="auto"/>
            <w:u w:val="none"/>
            <w:rtl/>
          </w:rPr>
          <w:t>ע"א 10978/04</w:t>
        </w:r>
      </w:hyperlink>
      <w:r w:rsidR="007D4E16" w:rsidRPr="003A1FA4">
        <w:rPr>
          <w:rFonts w:ascii="Miriam" w:hAnsi="Miriam" w:cs="Miriam"/>
          <w:b/>
          <w:bCs/>
          <w:rtl/>
        </w:rPr>
        <w:t xml:space="preserve"> </w:t>
      </w:r>
      <w:r w:rsidR="007D4E16" w:rsidRPr="003A1FA4">
        <w:rPr>
          <w:rFonts w:ascii="Miriam" w:hAnsi="Miriam" w:cs="Miriam" w:hint="cs"/>
          <w:b/>
          <w:bCs/>
          <w:rtl/>
        </w:rPr>
        <w:t>כלפה נ' זהבי [פורסם בנבו] (28/6/05)</w:t>
      </w:r>
      <w:r w:rsidR="007D4E16" w:rsidRPr="003A1FA4">
        <w:rPr>
          <w:rFonts w:hint="cs"/>
          <w:b/>
          <w:bCs/>
          <w:rtl/>
        </w:rPr>
        <w:t xml:space="preserve">" </w:t>
      </w:r>
      <w:r w:rsidR="007D4E16" w:rsidRPr="003A1FA4">
        <w:rPr>
          <w:rFonts w:hint="cs"/>
          <w:rtl/>
        </w:rPr>
        <w:t>[</w:t>
      </w:r>
      <w:hyperlink r:id="rId15" w:tgtFrame="blank" w:history="1">
        <w:r w:rsidR="007D4E16" w:rsidRPr="003A1FA4">
          <w:rPr>
            <w:rStyle w:val="Hyperlink"/>
            <w:rFonts w:hint="cs"/>
            <w:color w:val="auto"/>
            <w:u w:val="none"/>
            <w:shd w:val="clear" w:color="auto" w:fill="FFFFFF"/>
            <w:rtl/>
          </w:rPr>
          <w:t>עמ"ש (ת"א) 14547-06-16</w:t>
        </w:r>
      </w:hyperlink>
      <w:r w:rsidR="007D4E16" w:rsidRPr="003A1FA4">
        <w:rPr>
          <w:b/>
          <w:bCs/>
          <w:shd w:val="clear" w:color="auto" w:fill="FFFFFF"/>
        </w:rPr>
        <w:t> </w:t>
      </w:r>
      <w:r w:rsidR="007D4E16" w:rsidRPr="003A1FA4">
        <w:rPr>
          <w:rFonts w:hint="cs"/>
          <w:b/>
          <w:bCs/>
          <w:shd w:val="clear" w:color="auto" w:fill="FFFFFF"/>
          <w:rtl/>
        </w:rPr>
        <w:t>עדנה נהוראי נ</w:t>
      </w:r>
      <w:r w:rsidR="007D4E16" w:rsidRPr="003A1FA4">
        <w:rPr>
          <w:b/>
          <w:bCs/>
          <w:shd w:val="clear" w:color="auto" w:fill="FFFFFF"/>
        </w:rPr>
        <w:t>'</w:t>
      </w:r>
      <w:r w:rsidR="007D4E16" w:rsidRPr="003A1FA4">
        <w:rPr>
          <w:b/>
          <w:bCs/>
          <w:rtl/>
        </w:rPr>
        <w:t> </w:t>
      </w:r>
      <w:r w:rsidR="007D4E16" w:rsidRPr="003A1FA4">
        <w:rPr>
          <w:rFonts w:hint="cs"/>
          <w:b/>
          <w:bCs/>
          <w:shd w:val="clear" w:color="auto" w:fill="FFFFFF"/>
          <w:rtl/>
        </w:rPr>
        <w:t>פילת מקבוצת היי-קפיטל בע"מ </w:t>
      </w:r>
      <w:r w:rsidR="007D4E16" w:rsidRPr="003A1FA4">
        <w:rPr>
          <w:rFonts w:hint="cs"/>
          <w:shd w:val="clear" w:color="auto" w:fill="FFFFFF"/>
          <w:rtl/>
        </w:rPr>
        <w:t>(פורסם בנבו, 28.11.17) (ולהלן: "</w:t>
      </w:r>
      <w:r w:rsidR="007D4E16" w:rsidRPr="003A1FA4">
        <w:rPr>
          <w:rFonts w:hint="cs"/>
          <w:b/>
          <w:bCs/>
          <w:shd w:val="clear" w:color="auto" w:fill="FFFFFF"/>
          <w:rtl/>
        </w:rPr>
        <w:t>עניין נהוראי</w:t>
      </w:r>
      <w:r w:rsidR="007D4E16" w:rsidRPr="003A1FA4">
        <w:rPr>
          <w:rFonts w:hint="cs"/>
          <w:shd w:val="clear" w:color="auto" w:fill="FFFFFF"/>
          <w:rtl/>
        </w:rPr>
        <w:t>")].</w:t>
      </w:r>
    </w:p>
    <w:p w:rsidR="003A1FA4" w:rsidRPr="007D4E16" w:rsidRDefault="003A1FA4" w:rsidP="007D4E16">
      <w:pPr>
        <w:pStyle w:val="ae"/>
        <w:spacing w:line="360" w:lineRule="auto"/>
        <w:jc w:val="both"/>
        <w:rPr>
          <w:shd w:val="clear" w:color="auto" w:fill="FFFFFF"/>
        </w:rPr>
      </w:pPr>
    </w:p>
    <w:p w:rsidR="003A1FA4" w:rsidRDefault="003A1FA4" w:rsidP="003A1FA4">
      <w:pPr>
        <w:pStyle w:val="ae"/>
        <w:numPr>
          <w:ilvl w:val="0"/>
          <w:numId w:val="1"/>
        </w:numPr>
        <w:spacing w:line="360" w:lineRule="auto"/>
        <w:jc w:val="both"/>
        <w:rPr>
          <w:shd w:val="clear" w:color="auto" w:fill="FFFFFF"/>
          <w:rtl/>
        </w:rPr>
      </w:pPr>
      <w:r>
        <w:rPr>
          <w:rFonts w:hint="cs"/>
          <w:shd w:val="clear" w:color="auto" w:fill="FFFFFF"/>
          <w:rtl/>
        </w:rPr>
        <w:lastRenderedPageBreak/>
        <w:t xml:space="preserve">אשר לראש התביעה השני, עניינו בתביעה ראשונה לפיצוי בגין הפרת ההסכם המופנית הן כנגד המבקשת – החייבת העיקרית – והן כנגד הערב – החייב המשני.  אין מחלוקת שלבית משפט זה סמכות עניינית לדון בתביעה כנגד המבקשת בגין הפרה נטענת של ההסכם. </w:t>
      </w:r>
    </w:p>
    <w:p w:rsidR="003A1FA4" w:rsidRDefault="003A1FA4" w:rsidP="0085464E">
      <w:pPr>
        <w:pStyle w:val="ae"/>
        <w:spacing w:line="360" w:lineRule="auto"/>
        <w:jc w:val="both"/>
        <w:rPr>
          <w:shd w:val="clear" w:color="auto" w:fill="FFFFFF"/>
        </w:rPr>
      </w:pPr>
      <w:r>
        <w:rPr>
          <w:rFonts w:hint="cs"/>
          <w:shd w:val="clear" w:color="auto" w:fill="FFFFFF"/>
          <w:rtl/>
        </w:rPr>
        <w:t xml:space="preserve">בכתב הערבות ויתר המבקש על הוראת סעיף 8 </w:t>
      </w:r>
      <w:r>
        <w:rPr>
          <w:rFonts w:hint="cs"/>
          <w:b/>
          <w:bCs/>
          <w:shd w:val="clear" w:color="auto" w:fill="FFFFFF"/>
          <w:rtl/>
        </w:rPr>
        <w:t>לחוק הערבות</w:t>
      </w:r>
      <w:r>
        <w:rPr>
          <w:rFonts w:hint="cs"/>
          <w:shd w:val="clear" w:color="auto" w:fill="FFFFFF"/>
          <w:rtl/>
        </w:rPr>
        <w:t xml:space="preserve">, תשכ"ז-1967, כך שמתקיימות הנסיבות שבסעיף 8(1), לפיהן פטור המשיב מפניה מוקדמת למבקשת – החייבת העיקרית. מכאן שלא הייתה למשיב מניעה לעתור בתביעה גם כנגד המבקש בהעדר קביעה שיפוטית מוקדמת כנגד המבקשת. </w:t>
      </w:r>
    </w:p>
    <w:p w:rsidR="003A1FA4" w:rsidRDefault="003A1FA4" w:rsidP="00B34261">
      <w:pPr>
        <w:pStyle w:val="ae"/>
        <w:spacing w:line="360" w:lineRule="auto"/>
        <w:jc w:val="both"/>
        <w:rPr>
          <w:shd w:val="clear" w:color="auto" w:fill="FFFFFF"/>
          <w:rtl/>
        </w:rPr>
      </w:pPr>
      <w:r>
        <w:rPr>
          <w:rFonts w:hint="cs"/>
          <w:shd w:val="clear" w:color="auto" w:fill="FFFFFF"/>
          <w:rtl/>
        </w:rPr>
        <w:t xml:space="preserve">אמנם חוב הערב </w:t>
      </w:r>
      <w:r w:rsidR="0085464E">
        <w:rPr>
          <w:shd w:val="clear" w:color="auto" w:fill="FFFFFF"/>
          <w:rtl/>
        </w:rPr>
        <w:t>–</w:t>
      </w:r>
      <w:r w:rsidR="0085464E">
        <w:rPr>
          <w:rFonts w:hint="cs"/>
          <w:shd w:val="clear" w:color="auto" w:fill="FFFFFF"/>
          <w:rtl/>
        </w:rPr>
        <w:t xml:space="preserve"> המבקש - </w:t>
      </w:r>
      <w:r>
        <w:rPr>
          <w:rFonts w:hint="cs"/>
          <w:shd w:val="clear" w:color="auto" w:fill="FFFFFF"/>
          <w:rtl/>
        </w:rPr>
        <w:t xml:space="preserve">טפל לחוב </w:t>
      </w:r>
      <w:r w:rsidR="0085464E">
        <w:rPr>
          <w:rFonts w:hint="cs"/>
          <w:shd w:val="clear" w:color="auto" w:fill="FFFFFF"/>
          <w:rtl/>
        </w:rPr>
        <w:t xml:space="preserve">החייב העיקרי </w:t>
      </w:r>
      <w:r w:rsidR="0085464E">
        <w:rPr>
          <w:shd w:val="clear" w:color="auto" w:fill="FFFFFF"/>
          <w:rtl/>
        </w:rPr>
        <w:t>–</w:t>
      </w:r>
      <w:r w:rsidR="0085464E">
        <w:rPr>
          <w:rFonts w:hint="cs"/>
          <w:shd w:val="clear" w:color="auto" w:fill="FFFFFF"/>
          <w:rtl/>
        </w:rPr>
        <w:t xml:space="preserve"> המבקשת -</w:t>
      </w:r>
      <w:r>
        <w:rPr>
          <w:rFonts w:hint="cs"/>
          <w:shd w:val="clear" w:color="auto" w:fill="FFFFFF"/>
          <w:rtl/>
        </w:rPr>
        <w:t xml:space="preserve"> ואולם הליכים כגון דא מתנהלים ככלל כנגד </w:t>
      </w:r>
      <w:r w:rsidR="0085464E">
        <w:rPr>
          <w:rFonts w:hint="cs"/>
          <w:shd w:val="clear" w:color="auto" w:fill="FFFFFF"/>
          <w:rtl/>
        </w:rPr>
        <w:t>החייב העיקרי וכנגד הערב</w:t>
      </w:r>
      <w:r>
        <w:rPr>
          <w:rFonts w:hint="cs"/>
          <w:shd w:val="clear" w:color="auto" w:fill="FFFFFF"/>
          <w:rtl/>
        </w:rPr>
        <w:t xml:space="preserve"> בחדא מחתא, וכל טענה העומדת לחייב העיקרי עומדת גם לערב. </w:t>
      </w:r>
      <w:r w:rsidR="0085464E">
        <w:rPr>
          <w:rFonts w:hint="cs"/>
          <w:shd w:val="clear" w:color="auto" w:fill="FFFFFF"/>
          <w:rtl/>
        </w:rPr>
        <w:t xml:space="preserve">ואכן, בכתב ההגנה שב ומדגיש המבקש שבהתאם להוראת סעיף 7(א) </w:t>
      </w:r>
      <w:r w:rsidR="0085464E">
        <w:rPr>
          <w:rFonts w:hint="cs"/>
          <w:b/>
          <w:bCs/>
          <w:shd w:val="clear" w:color="auto" w:fill="FFFFFF"/>
          <w:rtl/>
        </w:rPr>
        <w:t>לחוק הערבות</w:t>
      </w:r>
      <w:r w:rsidR="0085464E">
        <w:rPr>
          <w:rFonts w:hint="cs"/>
          <w:shd w:val="clear" w:color="auto" w:fill="FFFFFF"/>
          <w:rtl/>
        </w:rPr>
        <w:t xml:space="preserve"> עומדות לו כל הטענות העומדות למבקשת.</w:t>
      </w:r>
      <w:r w:rsidR="00EC1413">
        <w:rPr>
          <w:rFonts w:hint="cs"/>
          <w:shd w:val="clear" w:color="auto" w:fill="FFFFFF"/>
          <w:rtl/>
        </w:rPr>
        <w:t xml:space="preserve"> </w:t>
      </w:r>
      <w:r>
        <w:rPr>
          <w:rFonts w:hint="cs"/>
          <w:shd w:val="clear" w:color="auto" w:fill="FFFFFF"/>
          <w:rtl/>
        </w:rPr>
        <w:t>העובדה שעל מנת לממש את ערבות</w:t>
      </w:r>
      <w:r w:rsidR="0085464E">
        <w:rPr>
          <w:rFonts w:hint="cs"/>
          <w:shd w:val="clear" w:color="auto" w:fill="FFFFFF"/>
          <w:rtl/>
        </w:rPr>
        <w:t xml:space="preserve"> המבקש</w:t>
      </w:r>
      <w:r>
        <w:rPr>
          <w:rFonts w:hint="cs"/>
          <w:shd w:val="clear" w:color="auto" w:fill="FFFFFF"/>
          <w:rtl/>
        </w:rPr>
        <w:t xml:space="preserve"> לחיובים שהושתו על המבקשת בפסק הדין נדרש ניהול הליך נוסף כנגדו</w:t>
      </w:r>
      <w:r w:rsidR="0085464E">
        <w:rPr>
          <w:rFonts w:hint="cs"/>
          <w:shd w:val="clear" w:color="auto" w:fill="FFFFFF"/>
          <w:rtl/>
        </w:rPr>
        <w:t xml:space="preserve"> </w:t>
      </w:r>
      <w:r>
        <w:rPr>
          <w:rFonts w:hint="cs"/>
          <w:shd w:val="clear" w:color="auto" w:fill="FFFFFF"/>
          <w:rtl/>
        </w:rPr>
        <w:t xml:space="preserve">מלמדת אף היא שיש טעם ויעילות בניהול ההליך מלכתחילה כנגד שניהם. הדברים מקבלים משנה תוקף שעה שביחס למימוש הערבות בהתאם לפסק הדין מעלה המבקש כאמור טענות הגנה גם כנגד פסק הדין וכנגד המבקשת באופן שמלמד בעליל על הצורך והיעילות בניהול ההליך </w:t>
      </w:r>
      <w:r w:rsidR="0085464E">
        <w:rPr>
          <w:rFonts w:hint="cs"/>
          <w:shd w:val="clear" w:color="auto" w:fill="FFFFFF"/>
          <w:rtl/>
        </w:rPr>
        <w:t xml:space="preserve">מלכחתילה </w:t>
      </w:r>
      <w:r>
        <w:rPr>
          <w:rFonts w:hint="cs"/>
          <w:shd w:val="clear" w:color="auto" w:fill="FFFFFF"/>
          <w:rtl/>
        </w:rPr>
        <w:t xml:space="preserve">כנגד שניהם. </w:t>
      </w:r>
    </w:p>
    <w:p w:rsidR="0085464E" w:rsidRDefault="0085464E" w:rsidP="0085464E">
      <w:pPr>
        <w:pStyle w:val="ae"/>
        <w:spacing w:line="360" w:lineRule="auto"/>
        <w:jc w:val="both"/>
        <w:rPr>
          <w:shd w:val="clear" w:color="auto" w:fill="FFFFFF"/>
          <w:rtl/>
        </w:rPr>
      </w:pPr>
    </w:p>
    <w:p w:rsidR="003A1FA4" w:rsidRDefault="003A1FA4" w:rsidP="00EC1413">
      <w:pPr>
        <w:pStyle w:val="ae"/>
        <w:numPr>
          <w:ilvl w:val="0"/>
          <w:numId w:val="1"/>
        </w:numPr>
        <w:spacing w:line="360" w:lineRule="auto"/>
        <w:jc w:val="both"/>
        <w:rPr>
          <w:shd w:val="clear" w:color="auto" w:fill="FFFFFF"/>
        </w:rPr>
      </w:pPr>
      <w:r>
        <w:rPr>
          <w:rFonts w:hint="cs"/>
          <w:shd w:val="clear" w:color="auto" w:fill="FFFFFF"/>
          <w:rtl/>
        </w:rPr>
        <w:t xml:space="preserve">טענות המבקשים לפיהן חדל המשיב בכך שלא פרע את תשלום האגרה בגין ראש התביעה השני, ולא עתר מראש בבקשה לצירוף המבקש כנתבע בהתאם להוראת סעיף 6(ו) </w:t>
      </w:r>
      <w:r>
        <w:rPr>
          <w:rFonts w:hint="cs"/>
          <w:b/>
          <w:bCs/>
          <w:shd w:val="clear" w:color="auto" w:fill="FFFFFF"/>
          <w:rtl/>
        </w:rPr>
        <w:t>לחוק בית המשפט למשפחה</w:t>
      </w:r>
      <w:r>
        <w:rPr>
          <w:rFonts w:hint="cs"/>
          <w:shd w:val="clear" w:color="auto" w:fill="FFFFFF"/>
          <w:rtl/>
        </w:rPr>
        <w:t xml:space="preserve"> מקובלות על בית המשפט. על המשיב היה לקבל את רשות בית המשפט </w:t>
      </w:r>
      <w:r>
        <w:rPr>
          <w:rFonts w:hint="cs"/>
          <w:u w:val="single"/>
          <w:shd w:val="clear" w:color="auto" w:fill="FFFFFF"/>
          <w:rtl/>
        </w:rPr>
        <w:t>מראש</w:t>
      </w:r>
      <w:r>
        <w:rPr>
          <w:rFonts w:hint="cs"/>
          <w:shd w:val="clear" w:color="auto" w:fill="FFFFFF"/>
          <w:rtl/>
        </w:rPr>
        <w:t xml:space="preserve"> לצרף את המבקש כנתבע (דבר שלא התבקש ולא ניתן) [ש' שוחט וד' שאוה, </w:t>
      </w:r>
      <w:r>
        <w:rPr>
          <w:rFonts w:hint="cs"/>
          <w:b/>
          <w:bCs/>
          <w:shd w:val="clear" w:color="auto" w:fill="FFFFFF"/>
          <w:rtl/>
        </w:rPr>
        <w:t>סדר הדין בבית המשפט לענייני משפחה</w:t>
      </w:r>
      <w:r>
        <w:rPr>
          <w:rFonts w:hint="cs"/>
          <w:shd w:val="clear" w:color="auto" w:fill="FFFFFF"/>
          <w:rtl/>
        </w:rPr>
        <w:t xml:space="preserve"> (תש"ע) 254 (להלן: "</w:t>
      </w:r>
      <w:r>
        <w:rPr>
          <w:rFonts w:hint="cs"/>
          <w:b/>
          <w:bCs/>
          <w:shd w:val="clear" w:color="auto" w:fill="FFFFFF"/>
          <w:rtl/>
        </w:rPr>
        <w:t>שוחט</w:t>
      </w:r>
      <w:r>
        <w:rPr>
          <w:rFonts w:hint="cs"/>
          <w:shd w:val="clear" w:color="auto" w:fill="FFFFFF"/>
          <w:rtl/>
        </w:rPr>
        <w:t>")]. כמו כן, המשיב פרע את האגרה אך בגין ראש התביעה הראשון. לא יתכן חולק שמדובר בפגמים שנפלו בהליך. עם זאת, המדובר בפגמים פרוצדוראליים שאין בהם לטעמי כדי להביא לסעד הקיצוני של סילוק כתב התביעה. לא ברור מדוע לא פרע המשיב כנדרש בדין גם את האגרה בגין ראש התביעה השני (בעוד שפרע את סכום האגרה במלוא</w:t>
      </w:r>
      <w:r w:rsidR="00EC1413">
        <w:rPr>
          <w:rFonts w:hint="cs"/>
          <w:shd w:val="clear" w:color="auto" w:fill="FFFFFF"/>
          <w:rtl/>
        </w:rPr>
        <w:t>ו</w:t>
      </w:r>
      <w:r>
        <w:rPr>
          <w:rFonts w:hint="cs"/>
          <w:shd w:val="clear" w:color="auto" w:fill="FFFFFF"/>
          <w:rtl/>
        </w:rPr>
        <w:t xml:space="preserve"> בגין ראש התביעה הראשון). ברם, המדובר בסעד הניתן לריפוי ויש לאפשר לו לרפאו טרם מחיקת ראש תביעה זה. </w:t>
      </w:r>
    </w:p>
    <w:p w:rsidR="003A1FA4" w:rsidRDefault="003A1FA4" w:rsidP="003A1FA4">
      <w:pPr>
        <w:pStyle w:val="ae"/>
        <w:spacing w:line="360" w:lineRule="auto"/>
        <w:jc w:val="both"/>
        <w:rPr>
          <w:shd w:val="clear" w:color="auto" w:fill="FFFFFF"/>
        </w:rPr>
      </w:pPr>
    </w:p>
    <w:p w:rsidR="00EC1413" w:rsidRPr="00EC1413" w:rsidRDefault="003A1FA4" w:rsidP="00EC1413">
      <w:pPr>
        <w:pStyle w:val="ae"/>
        <w:numPr>
          <w:ilvl w:val="0"/>
          <w:numId w:val="1"/>
        </w:numPr>
        <w:spacing w:line="360" w:lineRule="auto"/>
        <w:jc w:val="both"/>
      </w:pPr>
      <w:r w:rsidRPr="003A1FA4">
        <w:rPr>
          <w:rFonts w:hint="cs"/>
          <w:shd w:val="clear" w:color="auto" w:fill="FFFFFF"/>
          <w:rtl/>
        </w:rPr>
        <w:t xml:space="preserve">ההחלטה אם לצרף צד להליך בהתאם לסמכות הקבועה </w:t>
      </w:r>
      <w:hyperlink r:id="rId16" w:history="1">
        <w:r w:rsidRPr="003A1FA4">
          <w:rPr>
            <w:rStyle w:val="Hyperlink"/>
            <w:rFonts w:hint="cs"/>
            <w:color w:val="auto"/>
            <w:spacing w:val="-2"/>
            <w:u w:val="none"/>
            <w:shd w:val="clear" w:color="auto" w:fill="FFFFFF"/>
            <w:rtl/>
          </w:rPr>
          <w:t>בהוראת סעיף 6(ו)</w:t>
        </w:r>
      </w:hyperlink>
      <w:r w:rsidRPr="003A1FA4">
        <w:rPr>
          <w:spacing w:val="-2"/>
          <w:shd w:val="clear" w:color="auto" w:fill="FFFFFF"/>
          <w:rtl/>
        </w:rPr>
        <w:t xml:space="preserve"> </w:t>
      </w:r>
      <w:r w:rsidRPr="003A1FA4">
        <w:rPr>
          <w:rFonts w:hint="cs"/>
          <w:b/>
          <w:bCs/>
          <w:spacing w:val="-2"/>
          <w:shd w:val="clear" w:color="auto" w:fill="FFFFFF"/>
          <w:rtl/>
        </w:rPr>
        <w:t xml:space="preserve">לחוק בית המשפט לענייני משפחה, </w:t>
      </w:r>
      <w:r w:rsidRPr="003A1FA4">
        <w:rPr>
          <w:rFonts w:hint="cs"/>
          <w:spacing w:val="-2"/>
          <w:shd w:val="clear" w:color="auto" w:fill="FFFFFF"/>
          <w:rtl/>
        </w:rPr>
        <w:t xml:space="preserve">היא החלטה דיונית הדומה במהותה לסמכות </w:t>
      </w:r>
      <w:r w:rsidR="00EC1413">
        <w:rPr>
          <w:rFonts w:hint="cs"/>
          <w:spacing w:val="-2"/>
          <w:shd w:val="clear" w:color="auto" w:fill="FFFFFF"/>
          <w:rtl/>
        </w:rPr>
        <w:t>שנקבעה</w:t>
      </w:r>
      <w:r w:rsidRPr="003A1FA4">
        <w:rPr>
          <w:rFonts w:hint="cs"/>
          <w:spacing w:val="-2"/>
          <w:shd w:val="clear" w:color="auto" w:fill="FFFFFF"/>
          <w:rtl/>
        </w:rPr>
        <w:t xml:space="preserve"> </w:t>
      </w:r>
      <w:hyperlink r:id="rId17" w:history="1">
        <w:r w:rsidRPr="003A1FA4">
          <w:rPr>
            <w:rStyle w:val="Hyperlink"/>
            <w:rFonts w:hint="cs"/>
            <w:color w:val="auto"/>
            <w:spacing w:val="-2"/>
            <w:u w:val="none"/>
            <w:shd w:val="clear" w:color="auto" w:fill="FFFFFF"/>
            <w:rtl/>
          </w:rPr>
          <w:t>בתקנה 24</w:t>
        </w:r>
      </w:hyperlink>
      <w:r w:rsidRPr="003A1FA4">
        <w:rPr>
          <w:rFonts w:hint="cs"/>
          <w:spacing w:val="-2"/>
          <w:shd w:val="clear" w:color="auto" w:fill="FFFFFF"/>
          <w:rtl/>
        </w:rPr>
        <w:t xml:space="preserve"> ל</w:t>
      </w:r>
      <w:hyperlink r:id="rId18" w:history="1">
        <w:r w:rsidRPr="003A1FA4">
          <w:rPr>
            <w:rStyle w:val="Hyperlink"/>
            <w:rFonts w:hint="cs"/>
            <w:b/>
            <w:bCs/>
            <w:color w:val="auto"/>
            <w:spacing w:val="-2"/>
            <w:u w:val="none"/>
            <w:shd w:val="clear" w:color="auto" w:fill="FFFFFF"/>
            <w:rtl/>
          </w:rPr>
          <w:t>תקנות סדר הדין האזרחי</w:t>
        </w:r>
      </w:hyperlink>
      <w:r w:rsidRPr="003A1FA4">
        <w:rPr>
          <w:rFonts w:hint="cs"/>
          <w:spacing w:val="-2"/>
          <w:shd w:val="clear" w:color="auto" w:fill="FFFFFF"/>
          <w:rtl/>
        </w:rPr>
        <w:t>, התשמ"ד-1984 ש</w:t>
      </w:r>
      <w:r w:rsidRPr="003A1FA4">
        <w:rPr>
          <w:rFonts w:hint="cs"/>
          <w:shd w:val="clear" w:color="auto" w:fill="FFFFFF"/>
          <w:rtl/>
        </w:rPr>
        <w:t xml:space="preserve">מקנה לבית המשפט שיקול דעת לצרף או למחוק בעל דין, </w:t>
      </w:r>
      <w:r w:rsidRPr="00B34261">
        <w:rPr>
          <w:rFonts w:hint="cs"/>
          <w:u w:val="single"/>
          <w:shd w:val="clear" w:color="auto" w:fill="FFFFFF"/>
          <w:rtl/>
        </w:rPr>
        <w:t>אף מיוזמתו</w:t>
      </w:r>
      <w:r w:rsidRPr="003A1FA4">
        <w:rPr>
          <w:rFonts w:hint="cs"/>
          <w:shd w:val="clear" w:color="auto" w:fill="FFFFFF"/>
          <w:rtl/>
        </w:rPr>
        <w:t>, "</w:t>
      </w:r>
      <w:r w:rsidRPr="003A1FA4">
        <w:rPr>
          <w:rFonts w:ascii="Miriam" w:hAnsi="Miriam" w:cs="Miriam"/>
          <w:b/>
          <w:bCs/>
          <w:shd w:val="clear" w:color="auto" w:fill="FFFFFF"/>
          <w:rtl/>
        </w:rPr>
        <w:t xml:space="preserve">כדי לאפשר לבית המשפט לפסוק ולהכריע ביעילות ובשלמות בכל </w:t>
      </w:r>
      <w:r>
        <w:rPr>
          <w:rFonts w:ascii="Miriam" w:hAnsi="Miriam" w:cs="Miriam"/>
          <w:b/>
          <w:bCs/>
          <w:shd w:val="clear" w:color="auto" w:fill="FFFFFF"/>
          <w:rtl/>
        </w:rPr>
        <w:t>השאלות הכרוכות בתובענה</w:t>
      </w:r>
      <w:r>
        <w:rPr>
          <w:rFonts w:hint="cs"/>
          <w:shd w:val="clear" w:color="auto" w:fill="FFFFFF"/>
          <w:rtl/>
        </w:rPr>
        <w:t xml:space="preserve">" [בע"מ 6975-12 </w:t>
      </w:r>
      <w:r>
        <w:rPr>
          <w:rFonts w:hint="cs"/>
          <w:b/>
          <w:bCs/>
          <w:shd w:val="clear" w:color="auto" w:fill="FFFFFF"/>
          <w:rtl/>
        </w:rPr>
        <w:t>ב.ח.מ.ח. בע"מ נ' כונס הנכסים</w:t>
      </w:r>
      <w:r>
        <w:rPr>
          <w:rFonts w:hint="cs"/>
          <w:shd w:val="clear" w:color="auto" w:fill="FFFFFF"/>
          <w:rtl/>
        </w:rPr>
        <w:t xml:space="preserve"> (פורסם בנבו, 28.10.12)]. </w:t>
      </w:r>
    </w:p>
    <w:p w:rsidR="003A1FA4" w:rsidRDefault="003A1FA4" w:rsidP="00EC1413">
      <w:pPr>
        <w:pStyle w:val="ae"/>
        <w:spacing w:line="360" w:lineRule="auto"/>
        <w:jc w:val="both"/>
      </w:pPr>
      <w:r>
        <w:rPr>
          <w:rFonts w:hint="cs"/>
          <w:spacing w:val="-2"/>
          <w:shd w:val="clear" w:color="auto" w:fill="FFFFFF"/>
          <w:rtl/>
        </w:rPr>
        <w:lastRenderedPageBreak/>
        <w:t xml:space="preserve">סמכות זו הוקנתה לבית המשפט בתקנה 63(ב)(11) </w:t>
      </w:r>
      <w:r>
        <w:rPr>
          <w:rFonts w:hint="cs"/>
          <w:b/>
          <w:bCs/>
          <w:spacing w:val="-2"/>
          <w:shd w:val="clear" w:color="auto" w:fill="FFFFFF"/>
          <w:rtl/>
        </w:rPr>
        <w:t>לתקנות סדר הדין האזרחי</w:t>
      </w:r>
      <w:r>
        <w:rPr>
          <w:rFonts w:hint="cs"/>
          <w:spacing w:val="-2"/>
          <w:shd w:val="clear" w:color="auto" w:fill="FFFFFF"/>
          <w:rtl/>
        </w:rPr>
        <w:t>, תשע"ט-2018. כבר נקבע שבהתאם להוראת סעיף 6(ו) ל</w:t>
      </w:r>
      <w:r w:rsidRPr="00B34261">
        <w:rPr>
          <w:rFonts w:hint="cs"/>
          <w:b/>
          <w:bCs/>
          <w:spacing w:val="-2"/>
          <w:shd w:val="clear" w:color="auto" w:fill="FFFFFF"/>
          <w:rtl/>
        </w:rPr>
        <w:t>חוק בית המשפט לענייני משפחה</w:t>
      </w:r>
      <w:r>
        <w:rPr>
          <w:rFonts w:hint="cs"/>
          <w:spacing w:val="-2"/>
          <w:shd w:val="clear" w:color="auto" w:fill="FFFFFF"/>
          <w:rtl/>
        </w:rPr>
        <w:t xml:space="preserve"> </w:t>
      </w:r>
      <w:r>
        <w:rPr>
          <w:rFonts w:hint="cs"/>
          <w:color w:val="000000"/>
          <w:shd w:val="clear" w:color="auto" w:fill="FFFFFF"/>
          <w:rtl/>
        </w:rPr>
        <w:t xml:space="preserve">לבית המשפט הסמכות להורות </w:t>
      </w:r>
      <w:r w:rsidRPr="00B34261">
        <w:rPr>
          <w:rFonts w:hint="cs"/>
          <w:color w:val="000000"/>
          <w:u w:val="single"/>
          <w:shd w:val="clear" w:color="auto" w:fill="FFFFFF"/>
          <w:rtl/>
        </w:rPr>
        <w:t>גם מיוזמתו</w:t>
      </w:r>
      <w:r>
        <w:rPr>
          <w:rFonts w:hint="cs"/>
          <w:color w:val="000000"/>
          <w:shd w:val="clear" w:color="auto" w:fill="FFFFFF"/>
          <w:rtl/>
        </w:rPr>
        <w:t xml:space="preserve"> על צירוף צד לתובענה, גם אם אינו "בן משפחה" כהגדרתו בחוק, אם הוא סבור שהוא צד הדרוש לבירורה ולהכרעה בה</w:t>
      </w:r>
      <w:r>
        <w:rPr>
          <w:rFonts w:hint="cs"/>
          <w:shd w:val="clear" w:color="auto" w:fill="FFFFFF"/>
          <w:rtl/>
        </w:rPr>
        <w:t xml:space="preserve"> [רמ"ש (באר שבע) 51654-02-24 </w:t>
      </w:r>
      <w:r>
        <w:rPr>
          <w:rFonts w:hint="cs"/>
          <w:b/>
          <w:bCs/>
          <w:shd w:val="clear" w:color="auto" w:fill="FFFFFF"/>
          <w:rtl/>
        </w:rPr>
        <w:t>פלוני נ' אלמוני</w:t>
      </w:r>
      <w:r>
        <w:rPr>
          <w:rFonts w:hint="cs"/>
          <w:shd w:val="clear" w:color="auto" w:fill="FFFFFF"/>
          <w:rtl/>
        </w:rPr>
        <w:t xml:space="preserve"> (פורסם בנבו, 11.4.24) פסקה 20]. </w:t>
      </w:r>
    </w:p>
    <w:p w:rsidR="003A1FA4" w:rsidRDefault="003A1FA4" w:rsidP="003A1FA4">
      <w:pPr>
        <w:pStyle w:val="ae"/>
        <w:spacing w:line="360" w:lineRule="auto"/>
        <w:jc w:val="both"/>
      </w:pPr>
    </w:p>
    <w:p w:rsidR="003A1FA4" w:rsidRDefault="003A1FA4" w:rsidP="003A1FA4">
      <w:pPr>
        <w:pStyle w:val="ae"/>
        <w:numPr>
          <w:ilvl w:val="0"/>
          <w:numId w:val="1"/>
        </w:numPr>
        <w:spacing w:line="360" w:lineRule="auto"/>
        <w:jc w:val="both"/>
        <w:rPr>
          <w:rtl/>
        </w:rPr>
      </w:pPr>
      <w:r>
        <w:rPr>
          <w:rFonts w:hint="cs"/>
          <w:color w:val="000000"/>
          <w:rtl/>
        </w:rPr>
        <w:t>בהקשר זה יש מקום להזכיר גם את הוראת סע' 6(ה) לחוק לפיה</w:t>
      </w:r>
      <w:r>
        <w:rPr>
          <w:rFonts w:ascii="Arial" w:hAnsi="Arial" w:hint="cs"/>
          <w:rtl/>
        </w:rPr>
        <w:t xml:space="preserve"> מוסמך בית המשפט לענייני משפחה להורות על צרוף תובענה שהוגשה לבית משפט אחר לגבי עניין שנדון בתובענה שבפניו ולדון בהן יחדיו </w:t>
      </w:r>
      <w:r>
        <w:rPr>
          <w:rFonts w:ascii="Miriam" w:hAnsi="Miriam" w:cs="Miriam"/>
          <w:rtl/>
        </w:rPr>
        <w:t>"</w:t>
      </w:r>
      <w:r>
        <w:rPr>
          <w:rFonts w:ascii="Miriam" w:hAnsi="Miriam" w:cs="Miriam"/>
          <w:b/>
          <w:bCs/>
          <w:rtl/>
        </w:rPr>
        <w:t>...יהא נושא התובענה האחרת או שוויה אשר יהא, אם לדעתו הצדק והתועלת בצירוף התובענות עולים על הפגיעה בענינו של אדם אחר שהוא צד לתובענה...</w:t>
      </w:r>
      <w:r>
        <w:rPr>
          <w:rFonts w:ascii="Arial" w:hAnsi="Arial" w:hint="cs"/>
          <w:rtl/>
        </w:rPr>
        <w:t>". המחוקק הרחיב את סמכותו העניינית של בית המשפט לענייני משפחה באופן שדי בזיקה שבין תביעה המתנהלת כבר בבית משפט אחר לתביעה הנדונה בפניו על מנת שהדיון יתקיים בבית המשפט לענייני משפחה. "</w:t>
      </w:r>
      <w:r>
        <w:rPr>
          <w:rFonts w:ascii="Miriam" w:hAnsi="Miriam" w:cs="Miriam"/>
          <w:b/>
          <w:bCs/>
          <w:rtl/>
        </w:rPr>
        <w:t>ודוק, אין צורך כי התביעה האחרת, לו הייתה מוגשת לבית המשפט לענייני משפחה הייתה בסמכותו, אלא הפוך מכך, האמור ללא תלות בכך</w:t>
      </w:r>
      <w:r>
        <w:rPr>
          <w:rFonts w:ascii="Arial" w:hAnsi="Arial" w:hint="cs"/>
          <w:rtl/>
        </w:rPr>
        <w:t xml:space="preserve">"  </w:t>
      </w:r>
      <w:r>
        <w:rPr>
          <w:rFonts w:hint="cs"/>
          <w:shd w:val="clear" w:color="auto" w:fill="FFFFFF"/>
          <w:rtl/>
        </w:rPr>
        <w:t xml:space="preserve">[עניין </w:t>
      </w:r>
      <w:r>
        <w:rPr>
          <w:rFonts w:hint="cs"/>
          <w:b/>
          <w:bCs/>
          <w:shd w:val="clear" w:color="auto" w:fill="FFFFFF"/>
          <w:rtl/>
        </w:rPr>
        <w:t>נהוראי</w:t>
      </w:r>
      <w:r>
        <w:rPr>
          <w:rFonts w:hint="cs"/>
          <w:shd w:val="clear" w:color="auto" w:fill="FFFFFF"/>
          <w:rtl/>
        </w:rPr>
        <w:t>, פסקה 31].</w:t>
      </w:r>
    </w:p>
    <w:p w:rsidR="003A1FA4" w:rsidRPr="00EC1413" w:rsidRDefault="003A1FA4" w:rsidP="003A1FA4">
      <w:pPr>
        <w:pStyle w:val="ae"/>
        <w:spacing w:line="360" w:lineRule="auto"/>
        <w:jc w:val="both"/>
        <w:rPr>
          <w:rFonts w:ascii="Calibri" w:hAnsi="Calibri"/>
          <w:i/>
        </w:rPr>
      </w:pPr>
      <w:r>
        <w:rPr>
          <w:rFonts w:hint="cs"/>
          <w:color w:val="000000"/>
          <w:rtl/>
        </w:rPr>
        <w:t>בספרות צוין כי "</w:t>
      </w:r>
      <w:r>
        <w:rPr>
          <w:rFonts w:ascii="Miriam" w:hAnsi="Miriam" w:cs="Miriam"/>
          <w:b/>
          <w:bCs/>
          <w:color w:val="000000"/>
          <w:rtl/>
        </w:rPr>
        <w:t>התכלית החקיקתית של סעיף 6 לחוק בית המשפט לעניני משפחה כולו היא מניעת פיצולה של התדיינות בין שתי ערכאות שונות. סעיף 6(ה) לחוק מלמד כי במקרים של התנגשות סמכויות מועדף דיון מאוחד בבית המשפט לעניני משפחה דווקא, שהרי הוסמך 'למשוך אליו' מכל בית משפט אחר כל תובענה 'לגבי ענין שנדון בתובענה'</w:t>
      </w:r>
      <w:r>
        <w:rPr>
          <w:rFonts w:hint="cs"/>
          <w:color w:val="000000"/>
          <w:rtl/>
        </w:rPr>
        <w:t>" [</w:t>
      </w:r>
      <w:r>
        <w:rPr>
          <w:rFonts w:hint="cs"/>
          <w:b/>
          <w:bCs/>
          <w:color w:val="000000"/>
          <w:rtl/>
        </w:rPr>
        <w:t>שוחט</w:t>
      </w:r>
      <w:r>
        <w:rPr>
          <w:rFonts w:hint="cs"/>
          <w:color w:val="000000"/>
          <w:rtl/>
        </w:rPr>
        <w:t>, עמ' 259)</w:t>
      </w:r>
      <w:r>
        <w:rPr>
          <w:color w:val="000000"/>
        </w:rPr>
        <w:t>.</w:t>
      </w:r>
      <w:r>
        <w:rPr>
          <w:spacing w:val="-2"/>
          <w:rtl/>
        </w:rPr>
        <w:t xml:space="preserve"> </w:t>
      </w:r>
      <w:r w:rsidRPr="00D90CA9">
        <w:rPr>
          <w:rFonts w:ascii="Calibri" w:hAnsi="Calibri" w:hint="cs"/>
          <w:rtl/>
        </w:rPr>
        <w:t>כך נפסק ש</w:t>
      </w:r>
      <w:r>
        <w:rPr>
          <w:rFonts w:ascii="Calibri" w:hAnsi="Calibri" w:hint="cs"/>
          <w:i/>
          <w:sz w:val="22"/>
          <w:szCs w:val="22"/>
          <w:rtl/>
        </w:rPr>
        <w:t>"</w:t>
      </w:r>
      <w:r>
        <w:rPr>
          <w:rFonts w:ascii="Miriam" w:hAnsi="Miriam" w:cs="Miriam"/>
          <w:b/>
          <w:bCs/>
          <w:i/>
          <w:rtl/>
        </w:rPr>
        <w:t>בית משפט יתיר לצרף צד נדרש אף במקרים בהם אי צירופו עלול להוביל לניהול שני הליכים נפרדים לגבי אותה מסכת עובדתית, האחת בין בני המשפחה בבית המשפט לענייני משפחה והשניה בין בני המשפחה, או מי מהם, לבין הצד הנדרש בבית משפט אחר</w:t>
      </w:r>
      <w:r>
        <w:rPr>
          <w:rFonts w:ascii="Calibri" w:hAnsi="Calibri" w:hint="cs"/>
          <w:i/>
          <w:sz w:val="22"/>
          <w:szCs w:val="22"/>
          <w:rtl/>
        </w:rPr>
        <w:t xml:space="preserve">" </w:t>
      </w:r>
      <w:r w:rsidR="00EC1413">
        <w:rPr>
          <w:rFonts w:ascii="Calibri" w:hAnsi="Calibri" w:hint="cs"/>
          <w:i/>
          <w:rtl/>
        </w:rPr>
        <w:t>[</w:t>
      </w:r>
      <w:r w:rsidRPr="00EC1413">
        <w:rPr>
          <w:rFonts w:ascii="Calibri" w:hAnsi="Calibri" w:hint="cs"/>
          <w:i/>
          <w:rtl/>
        </w:rPr>
        <w:t xml:space="preserve">תמ"ש (כפר סבא) 25770/06 </w:t>
      </w:r>
      <w:r w:rsidRPr="00EC1413">
        <w:rPr>
          <w:rFonts w:ascii="Calibri" w:hAnsi="Calibri" w:hint="cs"/>
          <w:b/>
          <w:bCs/>
          <w:i/>
          <w:rtl/>
        </w:rPr>
        <w:t>א. ע. נ' ל. מ.</w:t>
      </w:r>
      <w:r w:rsidRPr="00EC1413">
        <w:rPr>
          <w:rFonts w:ascii="Calibri" w:hAnsi="Calibri" w:hint="cs"/>
          <w:i/>
          <w:rtl/>
        </w:rPr>
        <w:t xml:space="preserve"> (פורסם בנבו, 24.12.06)].</w:t>
      </w:r>
    </w:p>
    <w:p w:rsidR="003A1FA4" w:rsidRDefault="003A1FA4" w:rsidP="003A1FA4">
      <w:pPr>
        <w:pStyle w:val="ae"/>
        <w:spacing w:line="360" w:lineRule="auto"/>
        <w:jc w:val="both"/>
        <w:rPr>
          <w:rFonts w:ascii="David" w:hAnsi="David"/>
          <w:spacing w:val="-2"/>
          <w:rtl/>
        </w:rPr>
      </w:pPr>
    </w:p>
    <w:p w:rsidR="00586205" w:rsidRDefault="003A1FA4" w:rsidP="00586205">
      <w:pPr>
        <w:pStyle w:val="ae"/>
        <w:numPr>
          <w:ilvl w:val="0"/>
          <w:numId w:val="1"/>
        </w:numPr>
        <w:spacing w:line="360" w:lineRule="auto"/>
        <w:jc w:val="both"/>
      </w:pPr>
      <w:r>
        <w:rPr>
          <w:rFonts w:hint="cs"/>
          <w:spacing w:val="-2"/>
          <w:rtl/>
        </w:rPr>
        <w:t xml:space="preserve">לאור הסמכות הרחבה </w:t>
      </w:r>
      <w:r>
        <w:rPr>
          <w:rFonts w:hint="cs"/>
          <w:rtl/>
        </w:rPr>
        <w:t>שהעניק המחוקק לבית המשפט למשפחה במישור המהותי, ובצדה שיקול הדעת במישור הפרוצדוראלי (הוראת סעיף 8 ל</w:t>
      </w:r>
      <w:r>
        <w:rPr>
          <w:rFonts w:hint="cs"/>
          <w:b/>
          <w:bCs/>
          <w:rtl/>
        </w:rPr>
        <w:t>חוק בית המשפט לענייני משפחה</w:t>
      </w:r>
      <w:r>
        <w:rPr>
          <w:rFonts w:hint="cs"/>
          <w:rtl/>
        </w:rPr>
        <w:t xml:space="preserve">), מצאתי להורות על צירוף המבקש כנתבע על אף שחדל המשיב בכך שלא הגיש מראש בקשה לצרפו. אמנם לא הוגשה בקשה לצירוף המבקש לתובענה כנדרש בהוראת סעיף 6(ו) </w:t>
      </w:r>
      <w:r>
        <w:rPr>
          <w:rFonts w:hint="cs"/>
          <w:b/>
          <w:bCs/>
          <w:rtl/>
        </w:rPr>
        <w:t>לחוק בית המשפט לענייני משפחה</w:t>
      </w:r>
      <w:r>
        <w:rPr>
          <w:rFonts w:hint="cs"/>
          <w:rtl/>
        </w:rPr>
        <w:t xml:space="preserve"> אך למעשה אין פרטים חסרים לצורך בחינת הסוגיה </w:t>
      </w:r>
      <w:r w:rsidR="00586205">
        <w:rPr>
          <w:rFonts w:hint="cs"/>
          <w:rtl/>
        </w:rPr>
        <w:t>לגופה.</w:t>
      </w:r>
      <w:r>
        <w:rPr>
          <w:rFonts w:hint="cs"/>
          <w:rtl/>
        </w:rPr>
        <w:t xml:space="preserve"> </w:t>
      </w:r>
    </w:p>
    <w:p w:rsidR="00D173E6" w:rsidRDefault="003A1FA4" w:rsidP="00586205">
      <w:pPr>
        <w:pStyle w:val="ae"/>
        <w:spacing w:line="360" w:lineRule="auto"/>
        <w:jc w:val="both"/>
      </w:pPr>
      <w:r>
        <w:rPr>
          <w:rFonts w:hint="cs"/>
          <w:rtl/>
        </w:rPr>
        <w:t xml:space="preserve">כפי שפורט לעיל, בנסיבות המיוחדות של ענייננו, סבורתני שמתקיימים התנאים לצירוף המבקש לתובענה. מדובר במערכת משפטית ועובדתית זהה ולצורך הכרעה בסכסוך הצירוף של המבקש הוא חיוני ונדרשת מעורבותו. </w:t>
      </w:r>
    </w:p>
    <w:p w:rsidR="003A1FA4" w:rsidRDefault="003A1FA4" w:rsidP="00D173E6">
      <w:pPr>
        <w:pStyle w:val="ae"/>
        <w:spacing w:line="360" w:lineRule="auto"/>
        <w:jc w:val="both"/>
        <w:rPr>
          <w:rtl/>
        </w:rPr>
      </w:pPr>
      <w:r>
        <w:rPr>
          <w:rFonts w:hint="cs"/>
          <w:rtl/>
        </w:rPr>
        <w:lastRenderedPageBreak/>
        <w:t>יש טעם לדון במכלול הטענות כמקשה אחת, ולא ניתן להפריד בין מערכת היחסים שבין המשיב למבקש במסגרת כתב הערבות לבין מערכת היחסים שלהם עם המבקשת. מערכת יחסי</w:t>
      </w:r>
      <w:r w:rsidR="00586205">
        <w:rPr>
          <w:rFonts w:hint="cs"/>
          <w:rtl/>
        </w:rPr>
        <w:t>ם</w:t>
      </w:r>
      <w:r>
        <w:rPr>
          <w:rFonts w:hint="cs"/>
          <w:rtl/>
        </w:rPr>
        <w:t xml:space="preserve"> שצמחה מכוחו של הסכם ההגירה וכתב הערבות שבא להבטיח את ביצועו על ידי המבקשת. אין תועלת והצדקה בפיצול התובענות שכן גם בהליך הנפרד נדרש היה לברר את אותן הטענות ונדרשים היו אותם הצדדים. כמו כן, הצדק והתועלת הדיונית שבצירוף המבקש לתובענה עולים בהרבה על הפגיעה העלולה להיגרם לו כתוצאה מהצירוף.</w:t>
      </w:r>
    </w:p>
    <w:p w:rsidR="003A1FA4" w:rsidRDefault="003A1FA4" w:rsidP="00586205">
      <w:pPr>
        <w:pStyle w:val="ae"/>
        <w:spacing w:line="360" w:lineRule="auto"/>
        <w:jc w:val="both"/>
      </w:pPr>
      <w:r>
        <w:rPr>
          <w:rFonts w:hint="cs"/>
          <w:rtl/>
        </w:rPr>
        <w:t xml:space="preserve">יודגש שאין המדובר בצירוף תאגיד או צד בעל אופי עסקי זר למשפחה אשר נקלע לסכסוך בין בני המשפחה בעקיפין. המדובר בחם של המבקשת, אשר הצטרף במודע להסכם בין המבקשת והמשיב הנוגע להגירת ילדיהם הקטינים, הצהיר שהוא מודע למשמעותו ולהשלכותיו של ההסכם והתחייב לשאת בכל התחייבויות המבקשת מכוחו ואף הסכים לסמכות בלעדית של בית המשפט למשפחה לדון בכל מחלוקת שתתעורר בינו לבין המשיב ביחס לכתב הערבות. מבלי לטעת מסמרות אם בגין כך הוא היה מושתק מלטעון כנגד סמכות בית המשפט אם היה מבוקש לצרפו בהתאם להוראות סעיף 6(ו), הסכמתו בוודאי מלמדת אף היא על האופן שבו ראו הצדדים את מהות העניין וכפועל יוצא את מהות הסמכות. בהקשר זה כבר נקבע שיש חשיבות גם לפן הסובייקטיבי הבוחן את האופן שבו הצדדים עצמם משקיפים על המחלוקת ביניהם, האם כסכסוך משפחתי או שמא כמחלוקת שעיקרה אזרחית ופתרונה אמור להימצא במסגרת הכרעה שיפוטית אזרחית רגילה [רע"א 5267/14 </w:t>
      </w:r>
      <w:r>
        <w:rPr>
          <w:rFonts w:hint="cs"/>
          <w:b/>
          <w:bCs/>
          <w:rtl/>
        </w:rPr>
        <w:t>לוין נ' שיוביץ</w:t>
      </w:r>
      <w:r>
        <w:rPr>
          <w:rFonts w:hint="cs"/>
          <w:rtl/>
        </w:rPr>
        <w:t xml:space="preserve"> (פורסם בנבו, 5.10.14)]. </w:t>
      </w:r>
      <w:r>
        <w:rPr>
          <w:rFonts w:ascii="Calibri" w:hAnsi="Calibri" w:hint="cs"/>
          <w:i/>
          <w:rtl/>
        </w:rPr>
        <w:t>בענייננו מדובר במקרה בו אין מקום להתיר את פיצול ההתדיינות בין ערכאות שונות. אין מקום לפצל את ההתדיינות ביחס לאותם אירועים לשני הליכים שונים, ואין להלום מצב שעשוי להביא להכרעות סותרות. בנוסף, מדובר בבזבוז משאבים וזמן, הן של הצדדים והן של בתי המשפט.</w:t>
      </w:r>
    </w:p>
    <w:p w:rsidR="003A1FA4" w:rsidRDefault="003A1FA4" w:rsidP="003A1FA4">
      <w:pPr>
        <w:pStyle w:val="ae"/>
        <w:spacing w:line="360" w:lineRule="auto"/>
        <w:jc w:val="both"/>
      </w:pPr>
    </w:p>
    <w:p w:rsidR="003A1FA4" w:rsidRDefault="003A1FA4" w:rsidP="00D90CA9">
      <w:pPr>
        <w:pStyle w:val="ae"/>
        <w:numPr>
          <w:ilvl w:val="0"/>
          <w:numId w:val="1"/>
        </w:numPr>
        <w:spacing w:line="360" w:lineRule="auto"/>
        <w:jc w:val="both"/>
      </w:pPr>
      <w:r>
        <w:rPr>
          <w:rFonts w:hint="cs"/>
          <w:rtl/>
        </w:rPr>
        <w:t xml:space="preserve">מעל שני הנימוקים שפורטו לעיל ביחס לכל אחד מראשי התביעה, מרחף נימוק מהותי נוסף. ביסוד הדברים המדובר בהסכם הגירה שבמרכזו ילדיהם הקטינים של </w:t>
      </w:r>
      <w:r w:rsidR="00D90CA9">
        <w:rPr>
          <w:rFonts w:hint="cs"/>
          <w:rtl/>
        </w:rPr>
        <w:t>המשיב ושל המבקשת</w:t>
      </w:r>
      <w:r>
        <w:rPr>
          <w:rFonts w:hint="cs"/>
          <w:rtl/>
        </w:rPr>
        <w:t>, ופסק דין שהורה על השבתם לישראל לידי המ</w:t>
      </w:r>
      <w:r w:rsidR="00D90CA9">
        <w:rPr>
          <w:rFonts w:hint="cs"/>
          <w:rtl/>
        </w:rPr>
        <w:t>שיב</w:t>
      </w:r>
      <w:r>
        <w:rPr>
          <w:rFonts w:hint="cs"/>
          <w:rtl/>
        </w:rPr>
        <w:t xml:space="preserve"> בעקבות הפרות ההסכם על ידי המבקשת ואי קיום התחייבויותיה בעיקר בנוגע להבטחת הקשר של הקטינים עמו. לבת הסוגיה היא אכיפת ההסכם בעניינם של הקטינים וקשה לקבל את טענת המבקשים שעניינה אינו "בתוך המשפחה" אלא אזרחי – כספי – גרידא. די להדגיש בהקשר זה את טענת המבקש לביטול כתב הערבות, ולעובדה שלכך עשויות להיות השלכות מרחיקות לכת </w:t>
      </w:r>
      <w:r>
        <w:rPr>
          <w:rFonts w:hint="cs"/>
          <w:u w:val="single"/>
          <w:rtl/>
        </w:rPr>
        <w:t>על הקטינים</w:t>
      </w:r>
      <w:r>
        <w:rPr>
          <w:rFonts w:hint="cs"/>
          <w:rtl/>
        </w:rPr>
        <w:t>. שכן, כל שינוי בכתב הערבות ישפיע על תוקפו של ההסכם ועל הקטינים, וכל הכרעה שיפוטית מן הראוי שתיקח בחשבון את כלל ההשלכות על התא המשפחתי (של המשיב והמבקשת</w:t>
      </w:r>
      <w:r w:rsidR="00586205">
        <w:rPr>
          <w:rFonts w:hint="cs"/>
          <w:rtl/>
        </w:rPr>
        <w:t>)</w:t>
      </w:r>
      <w:r>
        <w:rPr>
          <w:rFonts w:hint="cs"/>
          <w:rtl/>
        </w:rPr>
        <w:t xml:space="preserve"> ועל הקטינים אשר בית משפט זה אמון על טובתם.</w:t>
      </w:r>
    </w:p>
    <w:p w:rsidR="00D173E6" w:rsidRDefault="00D173E6" w:rsidP="00D173E6">
      <w:pPr>
        <w:pStyle w:val="ae"/>
        <w:spacing w:line="360" w:lineRule="auto"/>
        <w:jc w:val="both"/>
      </w:pPr>
    </w:p>
    <w:p w:rsidR="004701D0" w:rsidRDefault="004701D0" w:rsidP="00D90CA9">
      <w:pPr>
        <w:pStyle w:val="ae"/>
        <w:spacing w:line="360" w:lineRule="auto"/>
        <w:jc w:val="both"/>
      </w:pPr>
      <w:r>
        <w:rPr>
          <w:rFonts w:hint="cs"/>
          <w:rtl/>
        </w:rPr>
        <w:lastRenderedPageBreak/>
        <w:t>מהות המחלוקת הנוגעת לאכיפת הסכם בעניינם של קטינים מרחפת מעל כל הסוגיות הפרוצדוראליות והאזרחיות, ומצדיקה כשלעצמה שבית המשפט למשפחה הוא שידון גם במחלוקת הנוגעת למימוש כתב הערבות. בית המשפט שדן בהליכים הקודמים הנוגעים לכך, במסגרתם ניתנו חוות דעת בנוגע לטובת הקטינים ביחס לאכיפת ההסכם, ובאופן שמגשים את התכלית שופט אחד משפחה אחת</w:t>
      </w:r>
      <w:r w:rsidR="00D90CA9">
        <w:rPr>
          <w:rFonts w:hint="cs"/>
          <w:rtl/>
        </w:rPr>
        <w:t>,</w:t>
      </w:r>
      <w:r>
        <w:rPr>
          <w:rFonts w:hint="cs"/>
          <w:rtl/>
        </w:rPr>
        <w:t xml:space="preserve"> לרכז תחת קורת גג שיפוטית – מקצועית אחת את הטיפול בסוגיות שונות ששורשיהן במחלוקות בתוך התא המשפחתי.</w:t>
      </w:r>
    </w:p>
    <w:p w:rsidR="003A1FA4" w:rsidRDefault="003A1FA4" w:rsidP="00D90CA9">
      <w:pPr>
        <w:pStyle w:val="ae"/>
        <w:spacing w:line="360" w:lineRule="auto"/>
        <w:jc w:val="both"/>
        <w:rPr>
          <w:rtl/>
        </w:rPr>
      </w:pPr>
      <w:r>
        <w:rPr>
          <w:rFonts w:hint="cs"/>
          <w:rtl/>
        </w:rPr>
        <w:t xml:space="preserve">בנוסף, ומתוך כך, ניהול הליך הנוגע בעניינם של הקטינים מחייב שמירה והגנה על פרטיותם ועל צנעתם, כמו גם על פרטיות </w:t>
      </w:r>
      <w:r w:rsidR="00D90CA9">
        <w:rPr>
          <w:rFonts w:hint="cs"/>
          <w:rtl/>
        </w:rPr>
        <w:t>המשיב והמבקשת</w:t>
      </w:r>
      <w:r>
        <w:rPr>
          <w:rFonts w:hint="cs"/>
          <w:rtl/>
        </w:rPr>
        <w:t xml:space="preserve">. עת המבקש מעלה בעצמו טענות הגנה כנגד תוקף הערבות וכנגד עצם החיוב בפסק הדין בעקבות ההגנה של המבקשת, מתחייבת המסקנה כאמור שלא ניתן יהא לדון בסוגיית הערבות במנותק מההסכם, מפסק הדין ונסיבות העניין באופן שיחייבו את חשיפת ההליכים שהתנהלו בבית משפט זה בדלתיים סגורות ועליהם חל חיסיון. </w:t>
      </w:r>
    </w:p>
    <w:p w:rsidR="004701D0" w:rsidRDefault="004701D0" w:rsidP="004701D0">
      <w:pPr>
        <w:pStyle w:val="ae"/>
        <w:spacing w:line="360" w:lineRule="auto"/>
        <w:jc w:val="both"/>
      </w:pPr>
    </w:p>
    <w:p w:rsidR="003A1FA4" w:rsidRDefault="003A1FA4" w:rsidP="003A1FA4">
      <w:pPr>
        <w:pStyle w:val="ae"/>
        <w:numPr>
          <w:ilvl w:val="0"/>
          <w:numId w:val="1"/>
        </w:numPr>
        <w:spacing w:line="360" w:lineRule="auto"/>
        <w:jc w:val="both"/>
        <w:rPr>
          <w:rtl/>
        </w:rPr>
      </w:pPr>
      <w:r>
        <w:rPr>
          <w:rFonts w:hint="cs"/>
          <w:rtl/>
        </w:rPr>
        <w:t xml:space="preserve">סיכומו של דבר הוא שהבקשות לסילוק התובענה על הסף נדחות. </w:t>
      </w:r>
    </w:p>
    <w:p w:rsidR="003A1FA4" w:rsidRDefault="003A1FA4" w:rsidP="003A1FA4">
      <w:pPr>
        <w:pStyle w:val="ae"/>
        <w:spacing w:line="360" w:lineRule="auto"/>
        <w:jc w:val="both"/>
      </w:pPr>
      <w:r>
        <w:rPr>
          <w:rFonts w:hint="cs"/>
          <w:rtl/>
        </w:rPr>
        <w:t>על המשיב לפרוע בתוך 10 ימים את</w:t>
      </w:r>
      <w:r w:rsidR="004701D0">
        <w:rPr>
          <w:rFonts w:hint="cs"/>
          <w:rtl/>
        </w:rPr>
        <w:t xml:space="preserve"> האגרה בגין ראש התביעה השני, וא</w:t>
      </w:r>
      <w:r>
        <w:rPr>
          <w:rFonts w:hint="cs"/>
          <w:rtl/>
        </w:rPr>
        <w:t>ם לא יעשה כן תוך המועד הנקוב ימחק ראש תביעה זה.</w:t>
      </w:r>
    </w:p>
    <w:p w:rsidR="003A1FA4" w:rsidRDefault="003A1FA4" w:rsidP="003A1FA4">
      <w:pPr>
        <w:pStyle w:val="ae"/>
        <w:spacing w:line="360" w:lineRule="auto"/>
        <w:jc w:val="both"/>
        <w:rPr>
          <w:rtl/>
        </w:rPr>
      </w:pPr>
    </w:p>
    <w:p w:rsidR="003A1FA4" w:rsidRDefault="003A1FA4" w:rsidP="003A1FA4">
      <w:pPr>
        <w:pStyle w:val="ae"/>
        <w:numPr>
          <w:ilvl w:val="0"/>
          <w:numId w:val="1"/>
        </w:numPr>
        <w:spacing w:line="360" w:lineRule="auto"/>
        <w:jc w:val="both"/>
        <w:rPr>
          <w:rtl/>
        </w:rPr>
      </w:pPr>
      <w:r>
        <w:rPr>
          <w:rFonts w:hint="cs"/>
          <w:rtl/>
        </w:rPr>
        <w:t>בנסיבות העניין, על אף התוצאה ובשל הפגמים בהתנהלות המבקש, לא מצאתי לעשות צו להוצאות בשלב זה ואלה ידונו במסגרת פסק הדין.</w:t>
      </w:r>
    </w:p>
    <w:p w:rsidR="003A1FA4" w:rsidRDefault="003A1FA4" w:rsidP="003A1FA4">
      <w:pPr>
        <w:pStyle w:val="ae"/>
        <w:spacing w:line="360" w:lineRule="auto"/>
        <w:jc w:val="both"/>
      </w:pPr>
    </w:p>
    <w:p w:rsidR="003A1FA4" w:rsidRDefault="003A1FA4" w:rsidP="003A1FA4">
      <w:pPr>
        <w:spacing w:line="360" w:lineRule="auto"/>
        <w:jc w:val="both"/>
        <w:rPr>
          <w:rtl/>
        </w:rPr>
      </w:pPr>
      <w:r>
        <w:rPr>
          <w:rFonts w:hint="cs"/>
          <w:rtl/>
        </w:rPr>
        <w:t>ההחלטה מותרת בפרסום בהשמטת פרטים מזהים.</w:t>
      </w:r>
    </w:p>
    <w:p w:rsidR="003A1FA4" w:rsidRDefault="003A1FA4" w:rsidP="003A1FA4">
      <w:pPr>
        <w:pStyle w:val="ae"/>
        <w:rPr>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כ"ג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24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723711395"/>
        </w:sdtPr>
        <w:sdtEndPr/>
        <w:sdtContent>
          <w:r w:rsidR="00F1379A">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841" w:rsidRDefault="00362841">
      <w:r>
        <w:separator/>
      </w:r>
    </w:p>
  </w:endnote>
  <w:endnote w:type="continuationSeparator" w:id="0">
    <w:p w:rsidR="00362841" w:rsidRDefault="0036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BD" w:rsidRDefault="005B23B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3720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37201">
      <w:rPr>
        <w:rStyle w:val="ab"/>
        <w:rtl/>
      </w:rPr>
      <w:t>10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BD" w:rsidRDefault="005B23B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841" w:rsidRDefault="00362841">
      <w:r>
        <w:separator/>
      </w:r>
    </w:p>
  </w:footnote>
  <w:footnote w:type="continuationSeparator" w:id="0">
    <w:p w:rsidR="00362841" w:rsidRDefault="0036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BD" w:rsidRDefault="005B23B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24 נובמבר 2024</w:t>
              </w:r>
            </w:p>
          </w:tc>
        </w:sdtContent>
      </w:sdt>
    </w:tr>
    <w:tr w:rsidR="002914D6">
      <w:trPr>
        <w:trHeight w:val="337"/>
        <w:jc w:val="center"/>
      </w:trPr>
      <w:tc>
        <w:tcPr>
          <w:tcW w:w="8721" w:type="dxa"/>
          <w:gridSpan w:val="2"/>
        </w:tcPr>
        <w:p w:rsidR="002914D6" w:rsidRDefault="00362841" w:rsidP="00F1379A">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21752-12-23</w:t>
              </w:r>
            </w:sdtContent>
          </w:sdt>
          <w:r w:rsidR="00011212">
            <w:rPr>
              <w:b/>
              <w:bCs/>
              <w:noProof w:val="0"/>
              <w:sz w:val="26"/>
              <w:szCs w:val="26"/>
              <w:rtl/>
            </w:rPr>
            <w:t xml:space="preserve"> </w:t>
          </w:r>
          <w:sdt>
            <w:sdtPr>
              <w:rPr>
                <w:rtl/>
              </w:rPr>
              <w:alias w:val="1172"/>
              <w:tag w:val="1172"/>
              <w:id w:val="1484202908"/>
              <w:text w:multiLine="1"/>
            </w:sdtPr>
            <w:sdtEndPr/>
            <w:sdtContent>
              <w:r w:rsidR="00F1379A">
                <w:rPr>
                  <w:rFonts w:hint="cs"/>
                  <w:b/>
                  <w:bCs/>
                  <w:noProof w:val="0"/>
                  <w:sz w:val="26"/>
                  <w:szCs w:val="26"/>
                  <w:rtl/>
                </w:rPr>
                <w:t>פלונית</w:t>
              </w:r>
              <w:r w:rsidR="00CC29C2">
                <w:rPr>
                  <w:b/>
                  <w:bCs/>
                  <w:noProof w:val="0"/>
                  <w:sz w:val="26"/>
                  <w:szCs w:val="26"/>
                  <w:rtl/>
                </w:rPr>
                <w:t xml:space="preserve"> </w:t>
              </w:r>
              <w:r w:rsidR="00F1379A">
                <w:rPr>
                  <w:rFonts w:hint="cs"/>
                  <w:b/>
                  <w:bCs/>
                  <w:noProof w:val="0"/>
                  <w:sz w:val="26"/>
                  <w:szCs w:val="26"/>
                  <w:rtl/>
                </w:rPr>
                <w:t xml:space="preserve">ואח' </w:t>
              </w:r>
              <w:r w:rsidR="00CC29C2">
                <w:rPr>
                  <w:b/>
                  <w:bCs/>
                  <w:noProof w:val="0"/>
                  <w:sz w:val="26"/>
                  <w:szCs w:val="26"/>
                  <w:rtl/>
                </w:rPr>
                <w:t xml:space="preserve">נ' </w:t>
              </w:r>
              <w:r w:rsidR="00F1379A">
                <w:rPr>
                  <w:rFonts w:hint="cs"/>
                  <w:b/>
                  <w:bCs/>
                  <w:noProof w:val="0"/>
                  <w:sz w:val="26"/>
                  <w:szCs w:val="26"/>
                  <w:rtl/>
                </w:rPr>
                <w:t>אלמוני</w:t>
              </w:r>
              <w:r w:rsidR="00CC29C2">
                <w:rPr>
                  <w:b/>
                  <w:bCs/>
                  <w:noProof w:val="0"/>
                  <w:sz w:val="26"/>
                  <w:szCs w:val="26"/>
                  <w:rtl/>
                </w:rPr>
                <w:t xml:space="preserve"> ואח'</w:t>
              </w:r>
            </w:sdtContent>
          </w:sdt>
        </w:p>
        <w:p w:rsidR="002914D6" w:rsidRDefault="002914D6">
          <w:pPr>
            <w:rPr>
              <w:rtl/>
            </w:rPr>
          </w:pPr>
        </w:p>
        <w:p w:rsidR="004213F7" w:rsidRDefault="004213F7">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BD" w:rsidRDefault="005B23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E1C2D"/>
    <w:multiLevelType w:val="hybridMultilevel"/>
    <w:tmpl w:val="5BC89E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1887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18875&amp;lt;/CaseID&amp;gt;_x000d__x000a_        &amp;lt;CaseMonth&amp;gt;12&amp;lt;/CaseMonth&amp;gt;_x000d__x000a_        &amp;lt;CaseYear&amp;gt;2023&amp;lt;/CaseYear&amp;gt;_x000d__x000a_        &amp;lt;CaseNumber&amp;gt;21752&amp;lt;/CaseNumber&amp;gt;_x000d__x000a_        &amp;lt;NumeratorGroupID&amp;gt;1&amp;lt;/NumeratorGroupID&amp;gt;_x000d__x000a_        &amp;lt;CaseName&amp;gt;גרינבאום נ&amp;#39; גרינבאום ואח&amp;#39;&amp;lt;/CaseName&amp;gt;_x000d__x000a_        &amp;lt;CourtID&amp;gt;30&amp;lt;/CourtID&amp;gt;_x000d__x000a_        &amp;lt;CaseTypeID&amp;gt;15&amp;lt;/CaseTypeID&amp;gt;_x000d__x000a_        &amp;lt;CaseInterestID&amp;gt;10512&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752-12-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12-11T13:10:00+02:00&amp;lt;/CaseOpenDate&amp;gt;_x000d__x000a_        &amp;lt;PleaTypeID&amp;gt;4&amp;lt;/PleaTypeID&amp;gt;_x000d__x000a_        &amp;lt;CourtLevelID&amp;gt;1&amp;lt;/CourtLevelID&amp;gt;_x000d__x000a_        &amp;lt;CourtLevelCaseTypeInterestID&amp;gt;176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18875&amp;lt;/CaseID&amp;gt;_x000d__x000a_        &amp;lt;CaseMonth&amp;gt;12&amp;lt;/CaseMonth&amp;gt;_x000d__x000a_        &amp;lt;CaseYear&amp;gt;2023&amp;lt;/CaseYear&amp;gt;_x000d__x000a_        &amp;lt;CaseNumber&amp;gt;21752&amp;lt;/CaseNumber&amp;gt;_x000d__x000a_        &amp;lt;NumeratorGroupID&amp;gt;1&amp;lt;/NumeratorGroupID&amp;gt;_x000d__x000a_        &amp;lt;CaseName&amp;gt;גרינבאום נ&amp;#39; גרינבאום ואח&amp;#39;&amp;lt;/CaseName&amp;gt;_x000d__x000a_        &amp;lt;CourtID&amp;gt;30&amp;lt;/CourtID&amp;gt;_x000d__x000a_        &amp;lt;CaseTypeID&amp;gt;15&amp;lt;/CaseTypeID&amp;gt;_x000d__x000a_        &amp;lt;CaseInterestID&amp;gt;10512&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752-12-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23-12-11T13:10:00+02:00&amp;lt;/CaseOpenDate&amp;gt;_x000d__x000a_        &amp;lt;PleaTypeID&amp;gt;4&amp;lt;/PleaTypeID&amp;gt;_x000d__x000a_        &amp;lt;CourtLevelID&amp;gt;1&amp;lt;/CourtLevelID&amp;gt;_x000d__x000a_        &amp;lt;CourtLevelCaseTypeInterestID&amp;gt;176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29012&amp;lt;/DecisionID&amp;gt;_x000d__x000a_        &amp;lt;DecisionNumber&amp;gt;6&amp;lt;/DecisionNumber&amp;gt;_x000d__x000a_        &amp;lt;DecisionName&amp;gt;החלטה על בקשה של נתבע 1 בקשה בכתב&amp;lt;/DecisionName&amp;gt;_x000d__x000a_        &amp;lt;DecisionStatusID&amp;gt;1&amp;lt;/DecisionStatusID&amp;gt;_x000d__x000a_        &amp;lt;DecisionStatusChangeDate&amp;gt;2024-11-23T13:04:02.37+02:00&amp;lt;/DecisionStatusChangeDate&amp;gt;_x000d__x000a_        &amp;lt;DecisionSignatureDate&amp;gt;2024-11-23T12:07:56.583+02:00&amp;lt;/DecisionSignatureDate&amp;gt;_x000d__x000a_        &amp;lt;DecisionSignatureUserID&amp;gt;032061806@GOV.IL&amp;lt;/DecisionSignatureUserID&amp;gt;_x000d__x000a_        &amp;lt;DecisionCreateDate&amp;gt;2024-11-23T12:10:14.027+02:00&amp;lt;/DecisionCreateDate&amp;gt;_x000d__x000a_        &amp;lt;DecisionChangeDate&amp;gt;2024-11-23T13:04:02.523+02: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148132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החלטה על בקשה של נתבע 1 בקשה בכתב&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6229012&amp;lt;/DecisionID&amp;gt;_x000d__x000a_        &amp;lt;CaseID&amp;gt;80818875&amp;lt;/CaseID&amp;gt;_x000d__x000a_        &amp;lt;IsOriginal&amp;gt;true&amp;lt;/IsOriginal&amp;gt;_x000d__x000a_        &amp;lt;IsDeleted&amp;gt;false&amp;lt;/IsDeleted&amp;gt;_x000d__x000a_        &amp;lt;CaseName&amp;gt;גרינבאום נ&amp;#39; גרינבאום ואח&amp;#39;&amp;lt;/CaseName&amp;gt;_x000d__x000a_        &amp;lt;CaseDisplayIdentifier&amp;gt;21752-12-23 תמ&amp;quot;ש&amp;lt;/CaseDisplayIdentifier&amp;gt;_x000d__x000a_      &amp;lt;/dt_DecisionCase&amp;gt;_x000d__x000a_      &amp;lt;dt_DecisionMotion diffgr:id=&amp;quot;dt_DecisionMotion1&amp;quot; msdata:rowOrder=&amp;quot;0&amp;quot;&amp;gt;_x000d__x000a_        &amp;lt;DecisionID&amp;gt;156229012&amp;lt;/DecisionID&amp;gt;_x000d__x000a_        &amp;lt;MotionID&amp;gt;107152959&amp;lt;/MotionID&amp;gt;_x000d__x000a_        &amp;lt;IsOriginalMotion&amp;gt;true&amp;lt;/IsOriginalMotion&amp;gt;_x000d__x000a_        &amp;lt;MotionName&amp;gt;בקשה של נתבע 1 בקשה בכתב&amp;lt;/MotionName&amp;gt;_x000d__x000a_        &amp;lt;MotionOpenDate&amp;gt;2024-02-05T12:33:51.547+02:00&amp;lt;/MotionOpenDate&amp;gt;_x000d__x000a_        &amp;lt;CaseID&amp;gt;80818875&amp;lt;/CaseID&amp;gt;_x000d__x000a_        &amp;lt;CaseDisplayIdentifier&amp;gt;21752-12-23 תמ&amp;quot;ש&amp;lt;/CaseDisplayIdentifier&amp;gt;_x000d__x000a_        &amp;lt;ProcessNumber&amp;gt;6&amp;lt;/ProcessNumber&amp;gt;_x000d__x000a_        &amp;lt;ListOfProcessIds&amp;gt;6&amp;lt;/ListOfProcessIds&amp;gt;_x000d__x000a_      &amp;lt;/dt_DecisionMotion&amp;gt;_x000d__x000a_    &amp;lt;/DecisionDS&amp;gt;_x000d__x000a_  &amp;lt;/diffgr:diffgram&amp;gt;_x000d__x000a_&amp;lt;/DecisionDS&amp;gt;"/>
    <w:docVar w:name="DecisionID" w:val="156229012"/>
    <w:docVar w:name="WordClientAssemblyName" w:val="NGCS.Decision.ClientWordBL"/>
    <w:docVar w:name="WordClientClassName" w:val="NGCS.Decision.ClientWordBL.DecisionClient"/>
  </w:docVars>
  <w:rsids>
    <w:rsidRoot w:val="002914D6"/>
    <w:rsid w:val="00011212"/>
    <w:rsid w:val="00016C27"/>
    <w:rsid w:val="00124C2D"/>
    <w:rsid w:val="0014058F"/>
    <w:rsid w:val="0019474B"/>
    <w:rsid w:val="001F0B58"/>
    <w:rsid w:val="00273D47"/>
    <w:rsid w:val="002856D3"/>
    <w:rsid w:val="002914D6"/>
    <w:rsid w:val="002F5307"/>
    <w:rsid w:val="00306CE1"/>
    <w:rsid w:val="00337201"/>
    <w:rsid w:val="00362841"/>
    <w:rsid w:val="003A0652"/>
    <w:rsid w:val="003A0A92"/>
    <w:rsid w:val="003A1FA4"/>
    <w:rsid w:val="004213F7"/>
    <w:rsid w:val="00466065"/>
    <w:rsid w:val="004701D0"/>
    <w:rsid w:val="004F4787"/>
    <w:rsid w:val="00530E94"/>
    <w:rsid w:val="00586205"/>
    <w:rsid w:val="005B23BD"/>
    <w:rsid w:val="005E66BB"/>
    <w:rsid w:val="006E3E51"/>
    <w:rsid w:val="007D4E16"/>
    <w:rsid w:val="007E0D3D"/>
    <w:rsid w:val="00822AA5"/>
    <w:rsid w:val="0085464E"/>
    <w:rsid w:val="00904FA7"/>
    <w:rsid w:val="00921E03"/>
    <w:rsid w:val="009A04C9"/>
    <w:rsid w:val="009D1711"/>
    <w:rsid w:val="00A7661B"/>
    <w:rsid w:val="00B234CE"/>
    <w:rsid w:val="00B31305"/>
    <w:rsid w:val="00B34261"/>
    <w:rsid w:val="00B560E1"/>
    <w:rsid w:val="00BD70E3"/>
    <w:rsid w:val="00CC29C2"/>
    <w:rsid w:val="00CE7F78"/>
    <w:rsid w:val="00D173E6"/>
    <w:rsid w:val="00D90CA9"/>
    <w:rsid w:val="00DA714E"/>
    <w:rsid w:val="00DD058C"/>
    <w:rsid w:val="00E314B1"/>
    <w:rsid w:val="00E641DD"/>
    <w:rsid w:val="00E72C9F"/>
    <w:rsid w:val="00EC118E"/>
    <w:rsid w:val="00EC12E3"/>
    <w:rsid w:val="00EC1413"/>
    <w:rsid w:val="00F017D2"/>
    <w:rsid w:val="00F1379A"/>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016C27"/>
    <w:pPr>
      <w:ind w:left="720"/>
      <w:contextualSpacing/>
    </w:pPr>
  </w:style>
  <w:style w:type="character" w:styleId="Hyperlink">
    <w:name w:val="Hyperlink"/>
    <w:basedOn w:val="a0"/>
    <w:semiHidden/>
    <w:unhideWhenUsed/>
    <w:rsid w:val="003A1F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25737532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063610" TargetMode="External"/><Relationship Id="rId18" Type="http://schemas.openxmlformats.org/officeDocument/2006/relationships/hyperlink" Target="http://www.nevo.co.il/law/74880"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nevo.co.il/case/7948461" TargetMode="External"/><Relationship Id="rId17" Type="http://schemas.openxmlformats.org/officeDocument/2006/relationships/hyperlink" Target="http://www.nevo.co.il/law/74880/24"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law/98460/6.f"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98460"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vo.co.il/case/22077512" TargetMode="External"/><Relationship Id="rId23" Type="http://schemas.openxmlformats.org/officeDocument/2006/relationships/footer" Target="footer2.xml"/><Relationship Id="rId10" Type="http://schemas.openxmlformats.org/officeDocument/2006/relationships/hyperlink" Target="http://www.nevo.co.il/law/98460/6.f" TargetMode="External"/><Relationship Id="rId19"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177013"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עמית חדד</FullName>
        <FirstName>עמית</FirstName>
        <LastName>חדד</LastName>
        <PartyPropertyName/>
        <AuthenticationTypeAndNumber>מ.ר. 62884</AuthenticationTypeAndNumber>
        <RepresentatedOrRepresentativesNames>אברהם (אבי) מנדל</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276298784</CasePartyID>
        <PartyTypeID>2</PartyTypeID>
        <ActivityStatusID>1</ActivityStatusID>
        <PartyAliasID>21</PartyAliasID>
        <PartyAliasName>בא כוח נתבעים</PartyAliasName>
        <LegalEntityID>74468803</LegalEntityID>
        <CaseLegalEntityID>131853428</CaseLegalEntityID>
        <AuthenticationTypeID>4</AuthenticationTypeID>
        <AuthenticationTypeName>מ.ר.</AuthenticationTypeName>
        <LegalEntityNumber>62884</LegalEntityNumber>
        <IsMainPartyType>true</IsMainPartyType>
        <CaseDisplayIdentifier>21752-12-23</CaseDisplayIdentifier>
        <CaseTypeID>15</CaseTypeID>
        <CaseTypeName>תיק משפחה (תמ"ש)</CaseTypeName>
        <CaseName>גרינבאום נ' גרינבאום ואח'</CaseName>
        <FullAddress>ויצמן 2 תל אביב -יפו </FullAddress>
        <EmailAddress>office@har.law</EmailAddress>
        <MotionID>0</MotionID>
        <CasePleaID>0</CasePleaID>
        <LinkedCaseID>0</LinkedCaseID>
        <PartyID>2</PartyID>
        <CasePartyCategoryID>2</CasePartyCategoryID>
        <LegalEntityAddressID>86510145</LegalEntityAddressID>
        <LegalEntityEmailAddressID>68013423</LegalEntityEmailAddressID>
        <PleaTypeID>4</PleaTypeID>
        <LawyerOfficeName>משרד עו"ד חדד רוט שנהר ושות'</LawyerOfficeName>
        <LawyerOfficeID>74468804</LawyerOfficeID>
        <GroupPartyAlias/>
        <IsConverted>false</IsConverted>
        <LegalEntityNameID>80077881</LegalEntityNameID>
        <RepresentatedNamesOfAssistant/>
        <LegalEntityTypeID>4</LegalEntityTypeID>
        <IsVerdictExists>false</IsVerdictExists>
        <IsAsirAzir>false</IsAsirAzir>
        <MainAndSecSpec/>
        <IsPublicationProhibited>false</IsPublicationProhibited>
        <PublicationProhibitedFullName>עמית חדד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אורית מדר</FullName>
        <FirstName>אורית</FirstName>
        <LastName>מדר</LastName>
        <PartyPropertyName/>
        <AuthenticationTypeAndNumber>מ.ר. 61320</AuthenticationTypeAndNumber>
        <RepresentatedOrRepresentativesNames>אילה גרינבאום</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265573077</CasePartyID>
        <PartyTypeID>2</PartyTypeID>
        <ActivityStatusID>1</ActivityStatusID>
        <PartyAliasID>21</PartyAliasID>
        <PartyAliasName>בא כוח נתבעים</PartyAliasName>
        <LegalEntityID>73632401</LegalEntityID>
        <CaseLegalEntityID>127542729</CaseLegalEntityID>
        <AuthenticationTypeID>4</AuthenticationTypeID>
        <AuthenticationTypeName>מ.ר.</AuthenticationTypeName>
        <LegalEntityNumber>61320</LegalEntityNumber>
        <IsMainPartyType>true</IsMainPartyType>
        <CaseDisplayIdentifier>21752-12-23</CaseDisplayIdentifier>
        <CaseTypeID>15</CaseTypeID>
        <CaseTypeName>תיק משפחה (תמ"ש)</CaseTypeName>
        <CaseName>גרינבאום נ' גרינבאום ואח'</CaseName>
        <FullAddress>הלל 10 ירושלים </FullAddress>
        <EmailAddress>orit@madarlaw.co.il</EmailAddress>
        <MotionID>0</MotionID>
        <CasePleaID>0</CasePleaID>
        <LinkedCaseID>0</LinkedCaseID>
        <PartyID>2</PartyID>
        <CasePartyCategoryID>2</CasePartyCategoryID>
        <LegalEntityAddressID>88243626</LegalEntityAddressID>
        <LegalEntityEmailAddressID>68291831</LegalEntityEmailAddressID>
        <PleaTypeID>4</PleaTypeID>
        <LawyerOfficeName>משרד עו"ד אורית מדר</LawyerOfficeName>
        <LawyerOfficeID>73632402</LawyerOfficeID>
        <GroupPartyAlias/>
        <IsConverted>false</IsConverted>
        <LegalEntityNameID>78521112</LegalEntityNameID>
        <RepresentatedNamesOfAssistant/>
        <LegalEntityTypeID>4</LegalEntityTypeID>
        <IsVerdictExists>false</IsVerdictExists>
        <IsAsirAzir>false</IsAsirAzir>
        <MainAndSecSpec/>
        <IsPublicationProhibited>false</IsPublicationProhibited>
        <PublicationProhibitedFullName>אורית מדר</PublicationProhibitedFullName>
      </CaseParties>
      <CaseParties>
        <PartyTypeName>צד</PartyTypeName>
        <ProceedingType>בקשות</ProceedingType>
        <PleaName>בקשה של נתבע 1 בקשה בכתב</PleaName>
        <PartyBelonging>צד א'</PartyBelonging>
        <RoleName>מבקש 1</RoleName>
        <IsSubProceeding>TRUE</IsSubProceeding>
        <FullName>אילה גרינבאום</FullName>
        <FirstName>אילה</FirstName>
        <LastName>גרינבאום</LastName>
        <PartyPropertyName/>
        <AuthenticationTypeAndNumber>ת"ז 209561414</AuthenticationTypeAndNumber>
        <RepresentatedOrRepresentativesNames>אורית מדר</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265947016</CasePartyID>
        <PartyTypeID>1</PartyTypeID>
        <ActivityStatusID>1</ActivityStatusID>
        <PartyAliasID>3</PartyAliasID>
        <PartyAliasName>מבקש</PartyAliasName>
        <OrdinalNumber>1</OrdinalNumber>
        <LegalEntityID>73785847</LegalEntityID>
        <CaseLegalEntityID>126938276</CaseLegalEntityID>
        <AuthenticationTypeID>1</AuthenticationTypeID>
        <AuthenticationTypeName>ת"ז</AuthenticationTypeName>
        <LegalEntityNumber>209561414</LegalEntityNumber>
        <IsMainPartyType>false</IsMainPartyType>
        <CaseDisplayIdentifier>21752-12-23</CaseDisplayIdentifier>
        <CaseTypeID>15</CaseTypeID>
        <CaseTypeName>תיק משפחה (תמ"ש)</CaseTypeName>
        <CaseName>גרינבאום נ' גרינבאום ואח'</CaseName>
        <FullAddress>.</FullAddress>
        <EmailAddress>ag0788@hotmail.com</EmailAddress>
        <MotionID>107152959</MotionID>
        <CasePleaID>0</CasePleaID>
        <FatherName>מאיר</FatherName>
        <LinkedCaseID>0</LinkedCaseID>
        <PartyID>1</PartyID>
        <CasePartyCategoryID>4</CasePartyCategoryID>
        <LegalEntityAddressID>88839510</LegalEntityAddressID>
        <LegalEntityEmailAddressID>68343139</LegalEntityEmailAddressID>
        <PleaTypeID>60</PleaTypeID>
        <GroupPartyAlias>מבקשים</GroupPartyAlias>
        <IsConverted>false</IsConverted>
        <LegalEntityRegisteredNameID>4705019</LegalEntityRegisteredNameID>
        <LegalEntityNameID>95836461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אילה גרינבאום</PublicationProhibitedFullName>
      </CaseParties>
      <CaseParties>
        <PartyTypeName>צד</PartyTypeName>
        <ProceedingType>בקשות</ProceedingType>
        <PleaName>בקשה של נתבע 1 בקשה בכתב</PleaName>
        <PartyBelonging>צד ב'</PartyBelonging>
        <RoleName>משיב 1</RoleName>
        <IsSubProceeding>TRUE</IsSubProceeding>
        <FullName>מנחם מנדל גרינבאום</FullName>
        <FirstName>מנחם מנדל</FirstName>
        <LastName>גרינבאום</LastName>
        <PartyPropertyName/>
        <AuthenticationTypeAndNumber>ת"ז 032539231</AuthenticationTypeAndNumber>
        <RepresentatedOrRepresentativesNames>אברהם אטיאס</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265947017</CasePartyID>
        <PartyTypeID>1</PartyTypeID>
        <ActivityStatusID>1</ActivityStatusID>
        <PartyAliasID>4</PartyAliasID>
        <PartyAliasName>משיב</PartyAliasName>
        <OrdinalNumber>1</OrdinalNumber>
        <LegalEntityID>13065709</LegalEntityID>
        <CaseLegalEntityID>126938274</CaseLegalEntityID>
        <AuthenticationTypeID>1</AuthenticationTypeID>
        <AuthenticationTypeName>ת"ז</AuthenticationTypeName>
        <LegalEntityNumber>032539231</LegalEntityNumber>
        <IsMainPartyType>false</IsMainPartyType>
        <CaseDisplayIdentifier>21752-12-23</CaseDisplayIdentifier>
        <CaseTypeID>15</CaseTypeID>
        <CaseTypeName>תיק משפחה (תמ"ש)</CaseTypeName>
        <CaseName>גרינבאום נ' גרינבאום ואח'</CaseName>
        <FullAddress>מנחם בגין 102 מודיעין-מכבים-רעות* בית</FullAddress>
        <MotionID>107152959</MotionID>
        <CasePleaID>0</CasePleaID>
        <FatherName>אפרים</FatherName>
        <LinkedCaseID>0</LinkedCaseID>
        <PartyID>2</PartyID>
        <CasePartyCategoryID>4</CasePartyCategoryID>
        <LegalEntityAddressID>88704370</LegalEntityAddressID>
        <PleaTypeID>60</PleaTypeID>
        <GroupPartyAlias>משיבים</GroupPartyAlias>
        <IsConverted>false</IsConverted>
        <LegalEntityRegisteredNameID>2455040</LegalEntityRegisteredNameID>
        <LegalEntityNameID>95836460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מנדל גרינבאום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אטיאס</FullName>
        <FirstName>אברהם</FirstName>
        <LastName>אטיאס</LastName>
        <PartyPropertyName/>
        <AuthenticationTypeAndNumber>מ.ר. 54597</AuthenticationTypeAndNumber>
        <RepresentatedOrRepresentativesNames>מנחם מנדל גרינבאום</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263527715</CasePartyID>
        <PartyTypeID>2</PartyTypeID>
        <ActivityStatusID>1</ActivityStatusID>
        <PartyAliasID>20</PartyAliasID>
        <PartyAliasName>בא כוח תובעים</PartyAliasName>
        <OrdinalNumber>1</OrdinalNumber>
        <LegalEntityID>69599006</LegalEntityID>
        <CaseLegalEntityID>126938275</CaseLegalEntityID>
        <AuthenticationTypeID>4</AuthenticationTypeID>
        <AuthenticationTypeName>מ.ר.</AuthenticationTypeName>
        <LegalEntityNumber>54597</LegalEntityNumber>
        <IsMainPartyType>true</IsMainPartyType>
        <CaseDisplayIdentifier>21752-12-23</CaseDisplayIdentifier>
        <CaseTypeID>15</CaseTypeID>
        <CaseTypeName>תיק משפחה (תמ"ש)</CaseTypeName>
        <CaseName>גרינבאום נ' גרינבאום ואח'</CaseName>
        <FullAddress>בית הדפוס 11 ירושלים לובי 2 קומה 3</FullAddress>
        <EmailAddress>a.attias.adv@gmail.com</EmailAddress>
        <MotionID>0</MotionID>
        <CasePleaID>0</CasePleaID>
        <LinkedCaseID>0</LinkedCaseID>
        <PartyID>1</PartyID>
        <CasePartyCategoryID>2</CasePartyCategoryID>
        <LegalEntityAddressID>76414915</LegalEntityAddressID>
        <LegalEntityEmailAddressID>67829625</LegalEntityEmailAddressID>
        <PleaTypeID>4</PleaTypeID>
        <LawyerOfficeName>משרד עו"ד אברהם אטיאס</LawyerOfficeName>
        <LawyerOfficeID>69599007</LawyerOfficeID>
        <GroupPartyAlias/>
        <IsConverted>false</IsConverted>
        <LegalEntityNameID>71606401</LegalEntityNameID>
        <RepresentatedNamesOfAssistant/>
        <LegalEntityTypeID>4</LegalEntityTypeID>
        <IsVerdictExists>false</IsVerdictExists>
        <IsAsirAzir>false</IsAsirAzir>
        <MainAndSecSpec/>
        <IsPublicationProhibited>false</IsPublicationProhibited>
        <PublicationProhibitedFullName>אברהם אטיאס</PublicationProhibitedFullName>
      </CaseParties>
      <CaseParties>
        <PartyTypeName>צד</PartyTypeName>
        <ProceedingType>בקשות</ProceedingType>
        <PleaName>בקשה של נתבע 1 בקשה בכתב</PleaName>
        <PartyBelonging>צד ב'</PartyBelonging>
        <RoleName>משיב 2</RoleName>
        <IsSubProceeding>TRUE</IsSubProceeding>
        <FullName>אברהם (אבי) מנדל</FullName>
        <FirstName>אברהם (אבי)</FirstName>
        <LastName>מנדל</LastName>
        <PartyPropertyName/>
        <AuthenticationTypeAndNumber>דרכון 551136756</AuthenticationTypeAndNumber>
        <RepresentatedOrRepresentativesNames>עמית חדד</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265947018</CasePartyID>
        <PartyTypeID>1</PartyTypeID>
        <ActivityStatusID>1</ActivityStatusID>
        <PartyAliasID>4</PartyAliasID>
        <PartyAliasName>משיב</PartyAliasName>
        <OrdinalNumber>2</OrdinalNumber>
        <LegalEntityID>80519766</LegalEntityID>
        <CaseLegalEntityID>126938277</CaseLegalEntityID>
        <AuthenticationTypeID>2</AuthenticationTypeID>
        <AuthenticationTypeName>דרכון</AuthenticationTypeName>
        <LegalEntityNumber>551136756</LegalEntityNumber>
        <IsMainPartyType>false</IsMainPartyType>
        <CaseDisplayIdentifier>21752-12-23</CaseDisplayIdentifier>
        <CaseTypeID>15</CaseTypeID>
        <CaseTypeName>תיק משפחה (תמ"ש)</CaseTypeName>
        <CaseName>גרינבאום נ' גרינבאום ואח'</CaseName>
        <FullAddress>Longwood xing Lawrence NY 259  בית</FullAddress>
        <MotionID>107152959</MotionID>
        <CasePleaID>0</CasePleaID>
        <PassportCountryID>710</PassportCountryID>
        <LinkedCaseID>0</LinkedCaseID>
        <PartyID>2</PartyID>
        <CasePartyCategoryID>4</CasePartyCategoryID>
        <LegalEntityAddressID>88704372</LegalEntityAddressID>
        <PleaTypeID>60</PleaTypeID>
        <GroupPartyAlias>משיבים</GroupPartyAlias>
        <IsConverted>false</IsConverted>
        <LegalEntityNameID>95836462</LegalEntityNameID>
        <RepresentatedNamesOfAssistant/>
        <LegalEntityTypeID>2</LegalEntityTypeID>
        <IsVerdictExists>false</IsVerdictExists>
        <IsAsirAzir>false</IsAsirAzir>
        <MainAndSecSpec/>
        <IsPublicationProhibited>false</IsPublicationProhibited>
        <PublicationProhibitedFullName>אברהם (אבי) מנדל</PublicationProhibitedFullName>
      </CaseParties>
    </CasePartiesSelectionDS>
    <DecisionName>החלטה</DecisionName>
    <CourtDisplayName>בית משפט לענייני משפחה בירושלים</CourtDisplayName>
    <IsCaseJudgePanel>false</IsCaseJudgePanel>
    <DecisionSignatureDate>2024-11-23T12:07:56.5825866+02:00</DecisionSignatureDate>
    <OpenCaseDate>2023-12-11T13:10:00+02:00</OpenCaseDate>
    <CaseFeeSum>857717.000</CaseFeeSum>
    <DecisionTypeID>1</DecisionTypeID>
    <DecisionSignatureUserName>אורית בן דור ליבל</DecisionSignatureUserName>
    <MotionID>107152959</MotionID>
    <DecisionSignatureDateHebrew>2024-11-23T12:07:56.5825866+02:00</DecisionSignatureDateHebrew>
    <MotionNumber>6</MotionNumber>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גרינבאום נ' גרינבאום ואח'</CaseName>
    <DecisionNumberInCase>25</DecisionNumberInCase>
  </dt_Decision>
  <dt_DecisionCase>
    <DecisionID>0</DecisionID>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עמית חדד</FullName>
        <FirstName>עמית</FirstName>
        <LastName>חדד</LastName>
        <PartyPropertyName/>
        <AuthenticationTypeAndNumber>מ.ר. 62884</AuthenticationTypeAndNumber>
        <RepresentatedOrRepresentativesNames>אברהם (אבי) מנדל</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276298784</CasePartyID>
        <PartyTypeID>2</PartyTypeID>
        <ActivityStatusID>1</ActivityStatusID>
        <PartyAliasID>21</PartyAliasID>
        <PartyAliasName>בא כוח נתבעים</PartyAliasName>
        <LegalEntityID>74468803</LegalEntityID>
        <CaseLegalEntityID>131853428</CaseLegalEntityID>
        <AuthenticationTypeID>4</AuthenticationTypeID>
        <AuthenticationTypeName>מ.ר.</AuthenticationTypeName>
        <LegalEntityNumber>62884</LegalEntityNumber>
        <IsMainPartyType>true</IsMainPartyType>
        <CaseDisplayIdentifier>21752-12-23</CaseDisplayIdentifier>
        <CaseTypeID>15</CaseTypeID>
        <CaseTypeName>תיק משפחה (תמ"ש)</CaseTypeName>
        <CaseName>גרינבאום נ' גרינבאום ואח'</CaseName>
        <FullAddress>ויצמן 2 תל אביב -יפו </FullAddress>
        <EmailAddress>office@har.law</EmailAddress>
        <MotionID>0</MotionID>
        <CasePleaID>0</CasePleaID>
        <LinkedCaseID>0</LinkedCaseID>
        <PartyID>2</PartyID>
        <CasePartyCategoryID>2</CasePartyCategoryID>
        <LegalEntityAddressID>86510145</LegalEntityAddressID>
        <LegalEntityEmailAddressID>68013423</LegalEntityEmailAddressID>
        <PleaTypeID>4</PleaTypeID>
        <LawyerOfficeName>משרד עו"ד חדד רוט שנהר ושות'</LawyerOfficeName>
        <LawyerOfficeID>74468804</LawyerOfficeID>
        <GroupPartyAlias/>
        <IsConverted>false</IsConverted>
        <LegalEntityNameID>80077881</LegalEntityNameID>
        <RepresentatedNamesOfAssistant/>
        <LegalEntityTypeID>4</LegalEntityTypeID>
        <IsVerdictExists>false</IsVerdictExists>
        <IsAsirAzir>false</IsAsirAzir>
        <MainAndSecSpec/>
        <IsPublicationProhibited>false</IsPublicationProhibited>
        <PublicationProhibitedFullName>עמית חדד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אורית מדר</FullName>
        <FirstName>אורית</FirstName>
        <LastName>מדר</LastName>
        <PartyPropertyName/>
        <AuthenticationTypeAndNumber>מ.ר. 61320</AuthenticationTypeAndNumber>
        <RepresentatedOrRepresentativesNames>אילה גרינבאום</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265573077</CasePartyID>
        <PartyTypeID>2</PartyTypeID>
        <ActivityStatusID>1</ActivityStatusID>
        <PartyAliasID>21</PartyAliasID>
        <PartyAliasName>בא כוח נתבעים</PartyAliasName>
        <LegalEntityID>73632401</LegalEntityID>
        <CaseLegalEntityID>127542729</CaseLegalEntityID>
        <AuthenticationTypeID>4</AuthenticationTypeID>
        <AuthenticationTypeName>מ.ר.</AuthenticationTypeName>
        <LegalEntityNumber>61320</LegalEntityNumber>
        <IsMainPartyType>true</IsMainPartyType>
        <CaseDisplayIdentifier>21752-12-23</CaseDisplayIdentifier>
        <CaseTypeID>15</CaseTypeID>
        <CaseTypeName>תיק משפחה (תמ"ש)</CaseTypeName>
        <CaseName>גרינבאום נ' גרינבאום ואח'</CaseName>
        <FullAddress>הלל 10 ירושלים </FullAddress>
        <EmailAddress>orit@madarlaw.co.il</EmailAddress>
        <MotionID>0</MotionID>
        <CasePleaID>0</CasePleaID>
        <LinkedCaseID>0</LinkedCaseID>
        <PartyID>2</PartyID>
        <CasePartyCategoryID>2</CasePartyCategoryID>
        <LegalEntityAddressID>88243626</LegalEntityAddressID>
        <LegalEntityEmailAddressID>68291831</LegalEntityEmailAddressID>
        <PleaTypeID>4</PleaTypeID>
        <LawyerOfficeName>משרד עו"ד אורית מדר</LawyerOfficeName>
        <LawyerOfficeID>73632402</LawyerOfficeID>
        <GroupPartyAlias/>
        <IsConverted>false</IsConverted>
        <LegalEntityNameID>78521112</LegalEntityNameID>
        <RepresentatedNamesOfAssistant/>
        <LegalEntityTypeID>4</LegalEntityTypeID>
        <IsVerdictExists>false</IsVerdictExists>
        <IsAsirAzir>false</IsAsirAzir>
        <MainAndSecSpec/>
        <IsPublicationProhibited>false</IsPublicationProhibited>
        <PublicationProhibitedFullName>אורית מדר</PublicationProhibitedFullName>
      </CaseParties>
      <CaseParties>
        <PartyTypeName>צד</PartyTypeName>
        <ProceedingType>בקשות</ProceedingType>
        <PleaName>בקשה של נתבע 1 בקשה בכתב</PleaName>
        <PartyBelonging>צד א'</PartyBelonging>
        <RoleName>מבקש 1</RoleName>
        <IsSubProceeding>TRUE</IsSubProceeding>
        <FullName>אילה גרינבאום</FullName>
        <FirstName>אילה</FirstName>
        <LastName>גרינבאום</LastName>
        <PartyPropertyName/>
        <AuthenticationTypeAndNumber>ת"ז 209561414</AuthenticationTypeAndNumber>
        <RepresentatedOrRepresentativesNames>אורית מדר</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265947016</CasePartyID>
        <PartyTypeID>1</PartyTypeID>
        <ActivityStatusID>1</ActivityStatusID>
        <PartyAliasID>3</PartyAliasID>
        <PartyAliasName>מבקש</PartyAliasName>
        <OrdinalNumber>1</OrdinalNumber>
        <LegalEntityID>73785847</LegalEntityID>
        <CaseLegalEntityID>126938276</CaseLegalEntityID>
        <AuthenticationTypeID>1</AuthenticationTypeID>
        <AuthenticationTypeName>ת"ז</AuthenticationTypeName>
        <LegalEntityNumber>209561414</LegalEntityNumber>
        <IsMainPartyType>false</IsMainPartyType>
        <CaseDisplayIdentifier>21752-12-23</CaseDisplayIdentifier>
        <CaseTypeID>15</CaseTypeID>
        <CaseTypeName>תיק משפחה (תמ"ש)</CaseTypeName>
        <CaseName>גרינבאום נ' גרינבאום ואח'</CaseName>
        <FullAddress>.</FullAddress>
        <EmailAddress>ag0788@hotmail.com</EmailAddress>
        <MotionID>107152959</MotionID>
        <CasePleaID>0</CasePleaID>
        <FatherName>מאיר</FatherName>
        <LinkedCaseID>0</LinkedCaseID>
        <PartyID>1</PartyID>
        <CasePartyCategoryID>4</CasePartyCategoryID>
        <LegalEntityAddressID>88839510</LegalEntityAddressID>
        <LegalEntityEmailAddressID>68343139</LegalEntityEmailAddressID>
        <PleaTypeID>60</PleaTypeID>
        <GroupPartyAlias>מבקשים</GroupPartyAlias>
        <IsConverted>false</IsConverted>
        <LegalEntityRegisteredNameID>4705019</LegalEntityRegisteredNameID>
        <LegalEntityNameID>95836461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אילה גרינבאום</PublicationProhibitedFullName>
      </CaseParties>
      <CaseParties>
        <PartyTypeName>צד</PartyTypeName>
        <ProceedingType>בקשות</ProceedingType>
        <PleaName>בקשה של נתבע 1 בקשה בכתב</PleaName>
        <PartyBelonging>צד ב'</PartyBelonging>
        <RoleName>משיב 1</RoleName>
        <IsSubProceeding>TRUE</IsSubProceeding>
        <FullName>מנחם מנדל גרינבאום</FullName>
        <FirstName>מנחם מנדל</FirstName>
        <LastName>גרינבאום</LastName>
        <PartyPropertyName/>
        <AuthenticationTypeAndNumber>ת"ז 032539231</AuthenticationTypeAndNumber>
        <RepresentatedOrRepresentativesNames>אברהם אטיאס</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265947017</CasePartyID>
        <PartyTypeID>1</PartyTypeID>
        <ActivityStatusID>1</ActivityStatusID>
        <PartyAliasID>4</PartyAliasID>
        <PartyAliasName>משיב</PartyAliasName>
        <OrdinalNumber>1</OrdinalNumber>
        <LegalEntityID>13065709</LegalEntityID>
        <CaseLegalEntityID>126938274</CaseLegalEntityID>
        <AuthenticationTypeID>1</AuthenticationTypeID>
        <AuthenticationTypeName>ת"ז</AuthenticationTypeName>
        <LegalEntityNumber>032539231</LegalEntityNumber>
        <IsMainPartyType>false</IsMainPartyType>
        <CaseDisplayIdentifier>21752-12-23</CaseDisplayIdentifier>
        <CaseTypeID>15</CaseTypeID>
        <CaseTypeName>תיק משפחה (תמ"ש)</CaseTypeName>
        <CaseName>גרינבאום נ' גרינבאום ואח'</CaseName>
        <FullAddress>מנחם בגין 102 מודיעין-מכבים-רעות* בית</FullAddress>
        <MotionID>107152959</MotionID>
        <CasePleaID>0</CasePleaID>
        <FatherName>אפרים</FatherName>
        <LinkedCaseID>0</LinkedCaseID>
        <PartyID>2</PartyID>
        <CasePartyCategoryID>4</CasePartyCategoryID>
        <LegalEntityAddressID>88704370</LegalEntityAddressID>
        <PleaTypeID>60</PleaTypeID>
        <GroupPartyAlias>משיבים</GroupPartyAlias>
        <IsConverted>false</IsConverted>
        <LegalEntityRegisteredNameID>2455040</LegalEntityRegisteredNameID>
        <LegalEntityNameID>95836460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מנדל גרינבאום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אטיאס</FullName>
        <FirstName>אברהם</FirstName>
        <LastName>אטיאס</LastName>
        <PartyPropertyName/>
        <AuthenticationTypeAndNumber>מ.ר. 54597</AuthenticationTypeAndNumber>
        <RepresentatedOrRepresentativesNames>מנחם מנדל גרינבאום</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263527715</CasePartyID>
        <PartyTypeID>2</PartyTypeID>
        <ActivityStatusID>1</ActivityStatusID>
        <PartyAliasID>20</PartyAliasID>
        <PartyAliasName>בא כוח תובעים</PartyAliasName>
        <OrdinalNumber>1</OrdinalNumber>
        <LegalEntityID>69599006</LegalEntityID>
        <CaseLegalEntityID>126938275</CaseLegalEntityID>
        <AuthenticationTypeID>4</AuthenticationTypeID>
        <AuthenticationTypeName>מ.ר.</AuthenticationTypeName>
        <LegalEntityNumber>54597</LegalEntityNumber>
        <IsMainPartyType>true</IsMainPartyType>
        <CaseDisplayIdentifier>21752-12-23</CaseDisplayIdentifier>
        <CaseTypeID>15</CaseTypeID>
        <CaseTypeName>תיק משפחה (תמ"ש)</CaseTypeName>
        <CaseName>גרינבאום נ' גרינבאום ואח'</CaseName>
        <FullAddress>בית הדפוס 11 ירושלים לובי 2 קומה 3</FullAddress>
        <EmailAddress>a.attias.adv@gmail.com</EmailAddress>
        <MotionID>0</MotionID>
        <CasePleaID>0</CasePleaID>
        <LinkedCaseID>0</LinkedCaseID>
        <PartyID>1</PartyID>
        <CasePartyCategoryID>2</CasePartyCategoryID>
        <LegalEntityAddressID>76414915</LegalEntityAddressID>
        <LegalEntityEmailAddressID>67829625</LegalEntityEmailAddressID>
        <PleaTypeID>4</PleaTypeID>
        <LawyerOfficeName>משרד עו"ד אברהם אטיאס</LawyerOfficeName>
        <LawyerOfficeID>69599007</LawyerOfficeID>
        <GroupPartyAlias/>
        <IsConverted>false</IsConverted>
        <LegalEntityNameID>71606401</LegalEntityNameID>
        <RepresentatedNamesOfAssistant/>
        <LegalEntityTypeID>4</LegalEntityTypeID>
        <IsVerdictExists>false</IsVerdictExists>
        <IsAsirAzir>false</IsAsirAzir>
        <MainAndSecSpec/>
        <IsPublicationProhibited>false</IsPublicationProhibited>
        <PublicationProhibitedFullName>אברהם אטיאס</PublicationProhibitedFullName>
      </CaseParties>
      <CaseParties>
        <PartyTypeName>צד</PartyTypeName>
        <ProceedingType>בקשות</ProceedingType>
        <PleaName>בקשה של נתבע 1 בקשה בכתב</PleaName>
        <PartyBelonging>צד ב'</PartyBelonging>
        <RoleName>משיב 2</RoleName>
        <IsSubProceeding>TRUE</IsSubProceeding>
        <FullName>אברהם (אבי) מנדל</FullName>
        <FirstName>אברהם (אבי)</FirstName>
        <LastName>מנדל</LastName>
        <PartyPropertyName/>
        <AuthenticationTypeAndNumber>דרכון 551136756</AuthenticationTypeAndNumber>
        <RepresentatedOrRepresentativesNames>עמית חדד</RepresentatedOrRepresentativesNames>
        <RepresentatedOrRepresentativesCount>1</RepresentatedOrRepresentativesCount>
        <InvitedBy/>
        <CaseID>80818875</CaseID>
        <CaseJudicialPersonPresentationDS>
          <CaseJudicalPersonActive>
            <CaseID>80818875</CaseID>
            <MotionID>107152959</MotionID>
            <JudicialPersonID>032061806@GOV.IL</JudicialPersonID>
            <JudicialPersonTypeID>1</JudicialPersonTypeID>
            <JudicialTypeID>1</JudicialTypeID>
            <IsChairman>false</IsChairman>
            <TreatmentStartDate>2024-02-05T12:33:51.58+02:00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265947018</CasePartyID>
        <PartyTypeID>1</PartyTypeID>
        <ActivityStatusID>1</ActivityStatusID>
        <PartyAliasID>4</PartyAliasID>
        <PartyAliasName>משיב</PartyAliasName>
        <OrdinalNumber>2</OrdinalNumber>
        <LegalEntityID>80519766</LegalEntityID>
        <CaseLegalEntityID>126938277</CaseLegalEntityID>
        <AuthenticationTypeID>2</AuthenticationTypeID>
        <AuthenticationTypeName>דרכון</AuthenticationTypeName>
        <LegalEntityNumber>551136756</LegalEntityNumber>
        <IsMainPartyType>false</IsMainPartyType>
        <CaseDisplayIdentifier>21752-12-23</CaseDisplayIdentifier>
        <CaseTypeID>15</CaseTypeID>
        <CaseTypeName>תיק משפחה (תמ"ש)</CaseTypeName>
        <CaseName>גרינבאום נ' גרינבאום ואח'</CaseName>
        <FullAddress>Longwood xing Lawrence NY 259  בית</FullAddress>
        <MotionID>107152959</MotionID>
        <CasePleaID>0</CasePleaID>
        <PassportCountryID>710</PassportCountryID>
        <LinkedCaseID>0</LinkedCaseID>
        <PartyID>2</PartyID>
        <CasePartyCategoryID>4</CasePartyCategoryID>
        <LegalEntityAddressID>88704372</LegalEntityAddressID>
        <PleaTypeID>60</PleaTypeID>
        <GroupPartyAlias>משיבים</GroupPartyAlias>
        <IsConverted>false</IsConverted>
        <LegalEntityNameID>95836462</LegalEntityNameID>
        <RepresentatedNamesOfAssistant/>
        <LegalEntityTypeID>2</LegalEntityTypeID>
        <IsVerdictExists>false</IsVerdictExists>
        <IsAsirAzir>false</IsAsirAzir>
        <MainAndSecSpec/>
        <IsPublicationProhibited>false</IsPublicationProhibited>
        <PublicationProhibitedFullName>אברהם (אבי) מנדל</PublicationProhibitedFullName>
      </CaseParties>
    </CasePartiesSelectionDS>
    <CaseName>גרינבאום נ' גרינבאום ואח'</CaseName>
    <CaseDisplayIdentifier>21752-12-23</CaseDisplayIdentifier>
    <CaseInterestID>10512</CaseInterestID>
    <CaseTypeShortName>תמ"ש</CaseTypeShortName>
  </dt_DecisionCase>
  <dt_DecisionJudgePanel>
    <JudgeID>032061806@GOV.IL</JudgeID>
    <DisplayName>אורית בן דור ליבל</DisplayName>
    <RoleName>שופט</RoleName>
    <UserTitleName>שופטת</UserTitleName>
  </dt_DecisionJudgePanel>
  <dt_LegalEntityDetails>
    <Fax>02-6259008</Fax>
    <Phone>02-6255592</Phone>
    <PartyID>2</PartyID>
    <PartyTypeID>2</PartyTypeID>
    <DecisionID>0</DecisionID>
    <StreetName>הלל 10</StreetName>
    <ZipCode>9101301</ZipCode>
    <CityName>ירושלים</CityName>
    <FullName>אורית מדר</FullName>
    <Email>orit@madarlaw.co.il</Email>
    <IsPublicationProhibited>false</IsPublicationProhibited>
  </dt_LegalEntityDetails>
  <dt_LegalEntityDetails>
    <Fax>03-5333314</Fax>
    <Phone>03-5333313</Phone>
    <PartyID>2</PartyID>
    <PartyTypeID>2</PartyTypeID>
    <DecisionID>0</DecisionID>
    <StreetName>ויצמן 2</StreetName>
    <ZipCode>6423902</ZipCode>
    <CityName>תל אביב -יפו</CityName>
    <FullName>עמית חדד</FullName>
    <Email>office@har.law</Email>
    <IsPublicationProhibited>false</IsPublicationProhibited>
  </dt_LegalEntityDetails>
  <dt_LegalEntityDetails>
    <AddressDesc>בית</AddressDesc>
    <PartyID>1</PartyID>
    <PartyTypeID>1</PartyTypeID>
    <DecisionID>0</DecisionID>
    <StreetName>מנחם בגין 102</StreetName>
    <CityName>מודיעין-מכבים-רעות*</CityName>
    <FullName>מנחם מנדל גרינבאום</FullName>
    <IsPublicationProhibited>false</IsPublicationProhibited>
  </dt_LegalEntityDetails>
  <dt_LegalEntityDetails>
    <Fax>02-6500996</Fax>
    <Phone>02-5666911</Phone>
    <AddressDesc>לובי 2 קומה 3</AddressDesc>
    <PartyID>1</PartyID>
    <PartyTypeID>2</PartyTypeID>
    <DecisionID>0</DecisionID>
    <StreetName>בית הדפוס 11</StreetName>
    <ZipCode>95471</ZipCode>
    <CityName>ירושלים</CityName>
    <FullName>אברהם אטיאס</FullName>
    <Email>a.attias.adv@gmail.com</Email>
    <IsPublicationProhibited>false</IsPublicationProhibited>
  </dt_LegalEntityDetails>
  <dt_LegalEntityDetails>
    <AddressDesc>.</AddressDesc>
    <PartyID>2</PartyID>
    <PartyTypeID>1</PartyTypeID>
    <DecisionID>0</DecisionID>
    <FullName>אילה גרינבאום</FullName>
    <Email>ag0788@hotmail.com</Email>
    <IsPublicationProhibited>false</IsPublicationProhibited>
  </dt_LegalEntityDetails>
  <dt_LegalEntityDetails>
    <AddressDesc>בית</AddressDesc>
    <PartyID>2</PartyID>
    <PartyTypeID>1</PartyTypeID>
    <DecisionID>0</DecisionID>
    <StreetName>Longwood xing Lawrence NY 259 </StreetName>
    <FullName>אברהם (אבי) מנדל</FullName>
    <IsPublicationProhibited>false</IsPublicationProhibited>
  </dt_LegalEntityDetails>
  <dt_CaseJudicalPersonActive>
    <CaseJudicalPerson>שופטת אורית בן דור ליבל</CaseJudicalPerson>
  </dt_CaseJudicalPersonActive>
  <dt_Sitting>
    <PreviousMeetingDate>2024-09-09T11:30:00+03:00</PreviousMeetingDate>
    <PreviousSittingTypeID>5</PreviousSittingTypeID>
    <PreviousMeetingDisplayName>שופטת אורית בן דור ליבל</PreviousMeetingDisplayName>
    <PreviousMeetingRoleName>שופט</PreviousMeetingRoleName>
    <PreviousMeetingUserTitleName>שופטת</PreviousMeetingUserTitleName>
    <PreviousMeetingUserUPN>032061806@GOV.IL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5C10-13D9-45C1-9A80-CE4CB8976C68}">
  <ds:schemaRefs/>
</ds:datastoreItem>
</file>

<file path=customXml/itemProps2.xml><?xml version="1.0" encoding="utf-8"?>
<ds:datastoreItem xmlns:ds="http://schemas.openxmlformats.org/officeDocument/2006/customXml" ds:itemID="{919A88D4-4611-4725-9A69-DCA7BE54E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3480</Words>
  <Characters>17405</Characters>
  <Application>Microsoft Office Word</Application>
  <DocSecurity>0</DocSecurity>
  <Lines>145</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2024-11-23T11:02:00Z</cp:lastPrinted>
  <dcterms:created xsi:type="dcterms:W3CDTF">2024-11-27T11:14:00Z</dcterms:created>
  <dcterms:modified xsi:type="dcterms:W3CDTF">2024-11-27T11:14:00Z</dcterms:modified>
</cp:coreProperties>
</file>